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Override39.xml" ContentType="application/vnd.openxmlformats-officedocument.themeOverride+xml"/>
  <Override PartName="/word/charts/chart45.xml" ContentType="application/vnd.openxmlformats-officedocument.drawingml.chart+xml"/>
  <Override PartName="/word/theme/themeOverride40.xml" ContentType="application/vnd.openxmlformats-officedocument.themeOverride+xml"/>
  <Override PartName="/word/charts/chart46.xml" ContentType="application/vnd.openxmlformats-officedocument.drawingml.chart+xml"/>
  <Override PartName="/word/theme/themeOverride41.xml" ContentType="application/vnd.openxmlformats-officedocument.themeOverride+xml"/>
  <Override PartName="/word/footer1.xml" ContentType="application/vnd.openxmlformats-officedocument.wordprocessingml.footer+xml"/>
  <Override PartName="/word/charts/chart47.xml" ContentType="application/vnd.openxmlformats-officedocument.drawingml.chart+xml"/>
  <Override PartName="/word/theme/themeOverride4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49" w:rsidRPr="00F0732E" w:rsidRDefault="00B51749" w:rsidP="00180BC5">
      <w:pPr>
        <w:pStyle w:val="snormalny"/>
      </w:pPr>
      <w:bookmarkStart w:id="0" w:name="_GoBack"/>
      <w:bookmarkEnd w:id="0"/>
    </w:p>
    <w:p w:rsidR="00B51749" w:rsidRPr="00F0732E" w:rsidRDefault="00B51749" w:rsidP="00B51749">
      <w:pPr>
        <w:ind w:left="-142"/>
        <w:rPr>
          <w:rFonts w:cs="Cambria"/>
          <w:b/>
          <w:sz w:val="28"/>
          <w:szCs w:val="28"/>
        </w:rPr>
      </w:pPr>
    </w:p>
    <w:p w:rsidR="00B51749" w:rsidRPr="00F0732E" w:rsidRDefault="00B51749" w:rsidP="00B51749">
      <w:pPr>
        <w:ind w:left="-142"/>
        <w:rPr>
          <w:rFonts w:cs="Cambria"/>
          <w:b/>
          <w:sz w:val="28"/>
          <w:szCs w:val="28"/>
        </w:rPr>
      </w:pPr>
      <w:r w:rsidRPr="00F0732E">
        <w:rPr>
          <w:rFonts w:cs="Cambria"/>
          <w:b/>
          <w:sz w:val="28"/>
          <w:szCs w:val="28"/>
        </w:rPr>
        <w:t>Výročná správa o činnosti STU za rok 2014</w:t>
      </w:r>
    </w:p>
    <w:p w:rsidR="00B51749" w:rsidRPr="00F0732E" w:rsidRDefault="00B51749" w:rsidP="00B51749">
      <w:pPr>
        <w:ind w:left="-142"/>
        <w:rPr>
          <w:b/>
          <w:sz w:val="28"/>
          <w:szCs w:val="28"/>
        </w:rPr>
      </w:pPr>
    </w:p>
    <w:p w:rsidR="00B51749" w:rsidRPr="00F0732E" w:rsidRDefault="00B51749" w:rsidP="00B51749">
      <w:pPr>
        <w:tabs>
          <w:tab w:val="left" w:pos="6244"/>
        </w:tabs>
        <w:rPr>
          <w:b/>
          <w:bCs/>
          <w:sz w:val="28"/>
          <w:szCs w:val="28"/>
        </w:rPr>
      </w:pPr>
      <w:r w:rsidRPr="00F0732E">
        <w:rPr>
          <w:b/>
          <w:bCs/>
          <w:sz w:val="28"/>
          <w:szCs w:val="28"/>
        </w:rPr>
        <w:tab/>
      </w:r>
    </w:p>
    <w:p w:rsidR="00B51749" w:rsidRPr="00F0732E" w:rsidRDefault="00B51749" w:rsidP="00B51749">
      <w:pPr>
        <w:rPr>
          <w:b/>
          <w:bCs/>
          <w:sz w:val="28"/>
          <w:szCs w:val="28"/>
        </w:rPr>
      </w:pPr>
      <w:r w:rsidRPr="00F0732E">
        <w:rPr>
          <w:b/>
          <w:bCs/>
          <w:sz w:val="28"/>
          <w:szCs w:val="28"/>
        </w:rPr>
        <w:t>Obsah</w:t>
      </w:r>
    </w:p>
    <w:p w:rsidR="00B51749" w:rsidRPr="00F0732E" w:rsidRDefault="00B51749" w:rsidP="00B51749">
      <w:pPr>
        <w:rPr>
          <w:b/>
          <w:bCs/>
          <w:color w:val="FF0000"/>
          <w:sz w:val="28"/>
          <w:szCs w:val="28"/>
        </w:rPr>
      </w:pPr>
    </w:p>
    <w:p w:rsidR="00B51749" w:rsidRPr="00F0732E" w:rsidRDefault="0091177A"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b/>
          <w:bCs/>
          <w:color w:val="FF0000"/>
          <w:sz w:val="28"/>
          <w:szCs w:val="28"/>
        </w:rPr>
        <w:fldChar w:fldCharType="begin"/>
      </w:r>
      <w:r w:rsidR="00B51749" w:rsidRPr="00F0732E">
        <w:rPr>
          <w:rFonts w:ascii="Cambria" w:hAnsi="Cambria"/>
          <w:b/>
          <w:bCs/>
          <w:color w:val="FF0000"/>
          <w:sz w:val="28"/>
          <w:szCs w:val="28"/>
        </w:rPr>
        <w:instrText xml:space="preserve"> TOC \o "1-3" \u </w:instrText>
      </w:r>
      <w:r w:rsidRPr="00F0732E">
        <w:rPr>
          <w:rFonts w:ascii="Cambria" w:hAnsi="Cambria"/>
          <w:b/>
          <w:bCs/>
          <w:color w:val="FF0000"/>
          <w:sz w:val="28"/>
          <w:szCs w:val="28"/>
        </w:rPr>
        <w:fldChar w:fldCharType="separate"/>
      </w:r>
      <w:r w:rsidR="00B51749" w:rsidRPr="00F0732E">
        <w:rPr>
          <w:rFonts w:ascii="Cambria" w:hAnsi="Cambria"/>
          <w:color w:val="auto"/>
          <w:sz w:val="28"/>
          <w:szCs w:val="28"/>
        </w:rPr>
        <w:t>1</w:t>
      </w:r>
      <w:r w:rsidR="00B51749" w:rsidRPr="00F0732E">
        <w:rPr>
          <w:rFonts w:ascii="Cambria" w:hAnsi="Cambria"/>
          <w:color w:val="auto"/>
          <w:sz w:val="28"/>
          <w:szCs w:val="28"/>
          <w:lang w:eastAsia="sk-SK"/>
        </w:rPr>
        <w:tab/>
      </w:r>
      <w:r w:rsidR="00B51749" w:rsidRPr="00F0732E">
        <w:rPr>
          <w:rFonts w:ascii="Cambria" w:hAnsi="Cambria"/>
          <w:color w:val="auto"/>
          <w:sz w:val="28"/>
          <w:szCs w:val="28"/>
        </w:rPr>
        <w:t>Základné informácie o vysokej škole</w:t>
      </w:r>
      <w:r w:rsidR="00B51749" w:rsidRPr="00F0732E">
        <w:rPr>
          <w:rFonts w:ascii="Cambria" w:hAnsi="Cambria"/>
          <w:sz w:val="28"/>
          <w:szCs w:val="28"/>
        </w:rPr>
        <w:tab/>
      </w:r>
      <w:r w:rsidRPr="00F0732E">
        <w:rPr>
          <w:rFonts w:ascii="Cambria" w:hAnsi="Cambria"/>
          <w:sz w:val="28"/>
          <w:szCs w:val="28"/>
        </w:rPr>
        <w:fldChar w:fldCharType="begin"/>
      </w:r>
      <w:r w:rsidR="00B51749" w:rsidRPr="00F0732E">
        <w:rPr>
          <w:rFonts w:ascii="Cambria" w:hAnsi="Cambria"/>
          <w:sz w:val="28"/>
          <w:szCs w:val="28"/>
        </w:rPr>
        <w:instrText xml:space="preserve"> PAGEREF _Toc413009304 \h </w:instrText>
      </w:r>
      <w:r w:rsidRPr="00F0732E">
        <w:rPr>
          <w:rFonts w:ascii="Cambria" w:hAnsi="Cambria"/>
          <w:sz w:val="28"/>
          <w:szCs w:val="28"/>
        </w:rPr>
      </w:r>
      <w:r w:rsidRPr="00F0732E">
        <w:rPr>
          <w:rFonts w:ascii="Cambria" w:hAnsi="Cambria"/>
          <w:sz w:val="28"/>
          <w:szCs w:val="28"/>
        </w:rPr>
        <w:fldChar w:fldCharType="separate"/>
      </w:r>
      <w:r w:rsidR="005C1B86">
        <w:rPr>
          <w:rFonts w:ascii="Cambria" w:hAnsi="Cambria"/>
          <w:noProof/>
          <w:sz w:val="28"/>
          <w:szCs w:val="28"/>
        </w:rPr>
        <w:t>4</w:t>
      </w:r>
      <w:r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2</w:t>
      </w:r>
      <w:r w:rsidRPr="00F0732E">
        <w:rPr>
          <w:rFonts w:ascii="Cambria" w:hAnsi="Cambria"/>
          <w:color w:val="auto"/>
          <w:sz w:val="28"/>
          <w:szCs w:val="28"/>
          <w:lang w:eastAsia="sk-SK"/>
        </w:rPr>
        <w:tab/>
      </w:r>
      <w:r w:rsidRPr="00F0732E">
        <w:rPr>
          <w:rFonts w:ascii="Cambria" w:hAnsi="Cambria"/>
          <w:color w:val="auto"/>
          <w:sz w:val="28"/>
          <w:szCs w:val="28"/>
        </w:rPr>
        <w:t>Prehľad najdôležitejších udalostí</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_Toc413009305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3</w:t>
      </w:r>
      <w:r w:rsidRPr="00F0732E">
        <w:rPr>
          <w:rFonts w:ascii="Cambria" w:hAnsi="Cambria"/>
          <w:color w:val="auto"/>
          <w:sz w:val="28"/>
          <w:szCs w:val="28"/>
          <w:lang w:eastAsia="sk-SK"/>
        </w:rPr>
        <w:tab/>
      </w:r>
      <w:r w:rsidRPr="00F0732E">
        <w:rPr>
          <w:rFonts w:ascii="Cambria" w:hAnsi="Cambria"/>
          <w:color w:val="auto"/>
          <w:sz w:val="28"/>
          <w:szCs w:val="28"/>
        </w:rPr>
        <w:t>Informácie o poskytovanom vysokoškolskom vzdelávaní</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_Toc413009306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15</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3.1</w:t>
      </w:r>
      <w:r w:rsidRPr="00F0732E">
        <w:rPr>
          <w:rFonts w:ascii="Cambria" w:hAnsi="Cambria"/>
          <w:color w:val="auto"/>
          <w:sz w:val="28"/>
          <w:szCs w:val="28"/>
          <w:lang w:eastAsia="sk-SK"/>
        </w:rPr>
        <w:tab/>
      </w:r>
      <w:r w:rsidRPr="00F0732E">
        <w:rPr>
          <w:rFonts w:ascii="Cambria" w:hAnsi="Cambria"/>
          <w:color w:val="auto"/>
          <w:sz w:val="28"/>
          <w:szCs w:val="28"/>
        </w:rPr>
        <w:t>Študijné programy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_Toc413009307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15</w:t>
      </w:r>
      <w:r w:rsidR="0091177A" w:rsidRPr="00F0732E">
        <w:rPr>
          <w:rFonts w:ascii="Cambria" w:hAnsi="Cambria"/>
          <w:sz w:val="28"/>
          <w:szCs w:val="28"/>
        </w:rPr>
        <w:fldChar w:fldCharType="end"/>
      </w:r>
    </w:p>
    <w:p w:rsidR="00B51749" w:rsidRPr="00F0732E" w:rsidRDefault="00B51749" w:rsidP="005B5DB2">
      <w:pPr>
        <w:pStyle w:val="Obsah3"/>
        <w:rPr>
          <w:color w:val="auto"/>
          <w:lang w:eastAsia="sk-SK"/>
        </w:rPr>
      </w:pPr>
      <w:r w:rsidRPr="00F0732E">
        <w:t>3.1.1</w:t>
      </w:r>
      <w:r w:rsidRPr="00F0732E">
        <w:rPr>
          <w:color w:val="auto"/>
          <w:lang w:eastAsia="sk-SK"/>
        </w:rPr>
        <w:tab/>
      </w:r>
      <w:r w:rsidRPr="00F0732E">
        <w:t>Akreditácia študijných programov v rámci komplexnej akreditácie 2014</w:t>
      </w:r>
      <w:r w:rsidRPr="00F0732E">
        <w:tab/>
      </w:r>
      <w:r w:rsidR="005B5DB2">
        <w:t xml:space="preserve">...................................................................................................................................... </w:t>
      </w:r>
      <w:r w:rsidR="0091177A" w:rsidRPr="00F0732E">
        <w:fldChar w:fldCharType="begin"/>
      </w:r>
      <w:r w:rsidRPr="00F0732E">
        <w:instrText xml:space="preserve"> PAGEREF _Toc413009308 \h </w:instrText>
      </w:r>
      <w:r w:rsidR="0091177A" w:rsidRPr="00F0732E">
        <w:fldChar w:fldCharType="separate"/>
      </w:r>
      <w:r w:rsidR="005C1B86">
        <w:t>17</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3.2</w:t>
      </w:r>
      <w:r w:rsidRPr="00F0732E">
        <w:rPr>
          <w:rFonts w:ascii="Cambria" w:hAnsi="Cambria"/>
          <w:color w:val="auto"/>
          <w:sz w:val="28"/>
          <w:szCs w:val="28"/>
          <w:lang w:eastAsia="sk-SK"/>
        </w:rPr>
        <w:tab/>
      </w:r>
      <w:r w:rsidRPr="00F0732E">
        <w:rPr>
          <w:rFonts w:ascii="Cambria" w:hAnsi="Cambria"/>
          <w:color w:val="auto"/>
          <w:sz w:val="28"/>
          <w:szCs w:val="28"/>
        </w:rPr>
        <w:t>Počty a štruktúra študentov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_Toc413009309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19</w:t>
      </w:r>
      <w:r w:rsidR="0091177A" w:rsidRPr="00F0732E">
        <w:rPr>
          <w:rFonts w:ascii="Cambria" w:hAnsi="Cambria"/>
          <w:sz w:val="28"/>
          <w:szCs w:val="28"/>
        </w:rPr>
        <w:fldChar w:fldCharType="end"/>
      </w:r>
    </w:p>
    <w:p w:rsidR="00B51749" w:rsidRPr="00F0732E" w:rsidRDefault="00B51749" w:rsidP="005B5DB2">
      <w:pPr>
        <w:pStyle w:val="Obsah3"/>
        <w:rPr>
          <w:lang w:eastAsia="sk-SK"/>
        </w:rPr>
      </w:pPr>
      <w:r w:rsidRPr="00F0732E">
        <w:t>3.2.1</w:t>
      </w:r>
      <w:r w:rsidRPr="00F0732E">
        <w:rPr>
          <w:lang w:eastAsia="sk-SK"/>
        </w:rPr>
        <w:tab/>
      </w:r>
      <w:r w:rsidRPr="00F0732E">
        <w:t>Prvý stupeň štúdia - počet a úbytok študentov</w:t>
      </w:r>
      <w:r w:rsidRPr="00F0732E">
        <w:tab/>
      </w:r>
      <w:r w:rsidR="0091177A" w:rsidRPr="00F0732E">
        <w:fldChar w:fldCharType="begin"/>
      </w:r>
      <w:r w:rsidRPr="00F0732E">
        <w:instrText xml:space="preserve"> PAGEREF _Toc413009310 \h </w:instrText>
      </w:r>
      <w:r w:rsidR="0091177A" w:rsidRPr="00F0732E">
        <w:fldChar w:fldCharType="separate"/>
      </w:r>
      <w:r w:rsidR="005C1B86">
        <w:t>23</w:t>
      </w:r>
      <w:r w:rsidR="0091177A" w:rsidRPr="00F0732E">
        <w:fldChar w:fldCharType="end"/>
      </w:r>
    </w:p>
    <w:p w:rsidR="00B51749" w:rsidRPr="00F0732E" w:rsidRDefault="00B51749" w:rsidP="005B5DB2">
      <w:pPr>
        <w:pStyle w:val="Obsah3"/>
        <w:rPr>
          <w:lang w:eastAsia="sk-SK"/>
        </w:rPr>
      </w:pPr>
      <w:r w:rsidRPr="00F0732E">
        <w:t>3.2.2</w:t>
      </w:r>
      <w:r w:rsidRPr="00F0732E">
        <w:rPr>
          <w:lang w:eastAsia="sk-SK"/>
        </w:rPr>
        <w:tab/>
      </w:r>
      <w:r w:rsidRPr="00F0732E">
        <w:t>Druhý stupeň štúdia - počet a úbytok študentov</w:t>
      </w:r>
      <w:r w:rsidRPr="00F0732E">
        <w:tab/>
      </w:r>
      <w:r w:rsidR="0091177A" w:rsidRPr="00F0732E">
        <w:fldChar w:fldCharType="begin"/>
      </w:r>
      <w:r w:rsidRPr="00F0732E">
        <w:instrText xml:space="preserve"> PAGEREF _Toc413009311 \h </w:instrText>
      </w:r>
      <w:r w:rsidR="0091177A" w:rsidRPr="00F0732E">
        <w:fldChar w:fldCharType="separate"/>
      </w:r>
      <w:r w:rsidR="005C1B86">
        <w:t>24</w:t>
      </w:r>
      <w:r w:rsidR="0091177A" w:rsidRPr="00F0732E">
        <w:fldChar w:fldCharType="end"/>
      </w:r>
    </w:p>
    <w:p w:rsidR="00B51749" w:rsidRPr="00F0732E" w:rsidRDefault="00B51749" w:rsidP="005B5DB2">
      <w:pPr>
        <w:pStyle w:val="Obsah3"/>
        <w:rPr>
          <w:lang w:eastAsia="sk-SK"/>
        </w:rPr>
      </w:pPr>
      <w:r w:rsidRPr="00F0732E">
        <w:t>3.2.3</w:t>
      </w:r>
      <w:r w:rsidRPr="00F0732E">
        <w:rPr>
          <w:lang w:eastAsia="sk-SK"/>
        </w:rPr>
        <w:tab/>
      </w:r>
      <w:r w:rsidRPr="00F0732E">
        <w:t>Tretí stupeň štúdia - počet a úbytok študentov</w:t>
      </w:r>
      <w:r w:rsidRPr="00F0732E">
        <w:tab/>
      </w:r>
      <w:r w:rsidR="0091177A" w:rsidRPr="00F0732E">
        <w:fldChar w:fldCharType="begin"/>
      </w:r>
      <w:r w:rsidRPr="00F0732E">
        <w:instrText xml:space="preserve"> PAGEREF _Toc413009312 \h </w:instrText>
      </w:r>
      <w:r w:rsidR="0091177A" w:rsidRPr="00F0732E">
        <w:fldChar w:fldCharType="separate"/>
      </w:r>
      <w:r w:rsidR="005C1B86">
        <w:t>25</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3.3</w:t>
      </w:r>
      <w:r w:rsidRPr="00F0732E">
        <w:rPr>
          <w:rFonts w:ascii="Cambria" w:hAnsi="Cambria"/>
          <w:color w:val="auto"/>
          <w:sz w:val="28"/>
          <w:szCs w:val="28"/>
          <w:lang w:eastAsia="sk-SK"/>
        </w:rPr>
        <w:tab/>
      </w:r>
      <w:r w:rsidRPr="00F0732E">
        <w:rPr>
          <w:rFonts w:ascii="Cambria" w:hAnsi="Cambria"/>
          <w:color w:val="auto"/>
          <w:sz w:val="28"/>
          <w:szCs w:val="28"/>
        </w:rPr>
        <w:t>Štruktúra študentov z hľadiska krajov SR a zahraniční študenti</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_Toc413009313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26</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3.4</w:t>
      </w:r>
      <w:r w:rsidRPr="00F0732E">
        <w:rPr>
          <w:rFonts w:ascii="Cambria" w:hAnsi="Cambria"/>
          <w:color w:val="auto"/>
          <w:sz w:val="28"/>
          <w:szCs w:val="28"/>
          <w:lang w:eastAsia="sk-SK"/>
        </w:rPr>
        <w:tab/>
      </w:r>
      <w:r w:rsidRPr="00F0732E">
        <w:rPr>
          <w:rFonts w:ascii="Cambria" w:hAnsi="Cambria"/>
          <w:color w:val="auto"/>
          <w:sz w:val="28"/>
          <w:szCs w:val="28"/>
        </w:rPr>
        <w:t>Informácie o akademickej mobilite študentov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_Toc413009314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27</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3.5</w:t>
      </w:r>
      <w:r w:rsidRPr="00F0732E">
        <w:rPr>
          <w:rFonts w:ascii="Cambria" w:hAnsi="Cambria"/>
          <w:color w:val="auto"/>
          <w:sz w:val="28"/>
          <w:szCs w:val="28"/>
          <w:lang w:eastAsia="sk-SK"/>
        </w:rPr>
        <w:tab/>
      </w:r>
      <w:r w:rsidRPr="00F0732E">
        <w:rPr>
          <w:rFonts w:ascii="Cambria" w:hAnsi="Cambria"/>
          <w:color w:val="auto"/>
          <w:sz w:val="28"/>
          <w:szCs w:val="28"/>
        </w:rPr>
        <w:t>Záujem o štúdium a výsledky prijímacieho konania</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_Toc413009315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31</w:t>
      </w:r>
      <w:r w:rsidR="0091177A" w:rsidRPr="00F0732E">
        <w:rPr>
          <w:rFonts w:ascii="Cambria" w:hAnsi="Cambria"/>
          <w:sz w:val="28"/>
          <w:szCs w:val="28"/>
        </w:rPr>
        <w:fldChar w:fldCharType="end"/>
      </w:r>
    </w:p>
    <w:p w:rsidR="00B51749" w:rsidRPr="00F0732E" w:rsidRDefault="00B51749" w:rsidP="005B5DB2">
      <w:pPr>
        <w:pStyle w:val="Obsah3"/>
        <w:rPr>
          <w:lang w:eastAsia="sk-SK"/>
        </w:rPr>
      </w:pPr>
      <w:r w:rsidRPr="00F0732E">
        <w:t>3.5.1</w:t>
      </w:r>
      <w:r w:rsidRPr="00F0732E">
        <w:rPr>
          <w:lang w:eastAsia="sk-SK"/>
        </w:rPr>
        <w:tab/>
      </w:r>
      <w:r w:rsidRPr="00F0732E">
        <w:t>Prijímacie konanie na prvý stupeň štúdia</w:t>
      </w:r>
      <w:r w:rsidRPr="00F0732E">
        <w:tab/>
      </w:r>
      <w:r w:rsidR="0091177A" w:rsidRPr="00F0732E">
        <w:fldChar w:fldCharType="begin"/>
      </w:r>
      <w:r w:rsidRPr="00F0732E">
        <w:instrText xml:space="preserve"> PAGEREF _Toc413009316 \h </w:instrText>
      </w:r>
      <w:r w:rsidR="0091177A" w:rsidRPr="00F0732E">
        <w:fldChar w:fldCharType="separate"/>
      </w:r>
      <w:r w:rsidR="005C1B86">
        <w:t>32</w:t>
      </w:r>
      <w:r w:rsidR="0091177A" w:rsidRPr="00F0732E">
        <w:fldChar w:fldCharType="end"/>
      </w:r>
    </w:p>
    <w:p w:rsidR="00B51749" w:rsidRPr="00F0732E" w:rsidRDefault="00B51749" w:rsidP="005B5DB2">
      <w:pPr>
        <w:pStyle w:val="Obsah3"/>
        <w:rPr>
          <w:lang w:eastAsia="sk-SK"/>
        </w:rPr>
      </w:pPr>
      <w:r w:rsidRPr="00F0732E">
        <w:t>3.5.2</w:t>
      </w:r>
      <w:r w:rsidRPr="00F0732E">
        <w:rPr>
          <w:lang w:eastAsia="sk-SK"/>
        </w:rPr>
        <w:tab/>
      </w:r>
      <w:r w:rsidRPr="00F0732E">
        <w:t>Prijímacie konanie na druhý stupeň štúdia</w:t>
      </w:r>
      <w:r w:rsidRPr="00F0732E">
        <w:tab/>
      </w:r>
      <w:r w:rsidR="0091177A" w:rsidRPr="00F0732E">
        <w:fldChar w:fldCharType="begin"/>
      </w:r>
      <w:r w:rsidRPr="00F0732E">
        <w:instrText xml:space="preserve"> PAGEREF _Toc413009317 \h </w:instrText>
      </w:r>
      <w:r w:rsidR="0091177A" w:rsidRPr="00F0732E">
        <w:fldChar w:fldCharType="separate"/>
      </w:r>
      <w:r w:rsidR="005C1B86">
        <w:t>35</w:t>
      </w:r>
      <w:r w:rsidR="0091177A" w:rsidRPr="00F0732E">
        <w:fldChar w:fldCharType="end"/>
      </w:r>
    </w:p>
    <w:p w:rsidR="00B51749" w:rsidRPr="00F0732E" w:rsidRDefault="00B51749" w:rsidP="005B5DB2">
      <w:pPr>
        <w:pStyle w:val="Obsah3"/>
        <w:rPr>
          <w:lang w:eastAsia="sk-SK"/>
        </w:rPr>
      </w:pPr>
      <w:r w:rsidRPr="00F0732E">
        <w:t>3.5.3</w:t>
      </w:r>
      <w:r w:rsidRPr="00F0732E">
        <w:rPr>
          <w:lang w:eastAsia="sk-SK"/>
        </w:rPr>
        <w:tab/>
      </w:r>
      <w:r w:rsidRPr="00F0732E">
        <w:t>Prijímacie konanie na tretí stupeň štúdia</w:t>
      </w:r>
      <w:r w:rsidRPr="00F0732E">
        <w:tab/>
      </w:r>
      <w:r w:rsidR="0091177A" w:rsidRPr="00F0732E">
        <w:fldChar w:fldCharType="begin"/>
      </w:r>
      <w:r w:rsidRPr="00F0732E">
        <w:instrText xml:space="preserve"> PAGEREF _Toc413009318 \h </w:instrText>
      </w:r>
      <w:r w:rsidR="0091177A" w:rsidRPr="00F0732E">
        <w:fldChar w:fldCharType="separate"/>
      </w:r>
      <w:r w:rsidR="005C1B86">
        <w:t>37</w:t>
      </w:r>
      <w:r w:rsidR="0091177A" w:rsidRPr="00F0732E">
        <w:fldChar w:fldCharType="end"/>
      </w:r>
    </w:p>
    <w:p w:rsidR="00B51749" w:rsidRPr="00F0732E" w:rsidRDefault="00B51749" w:rsidP="005B5DB2">
      <w:pPr>
        <w:pStyle w:val="Obsah3"/>
        <w:rPr>
          <w:lang w:eastAsia="sk-SK"/>
        </w:rPr>
      </w:pPr>
      <w:r w:rsidRPr="00F0732E">
        <w:t>3.5.4</w:t>
      </w:r>
      <w:r w:rsidRPr="00F0732E">
        <w:rPr>
          <w:lang w:eastAsia="sk-SK"/>
        </w:rPr>
        <w:tab/>
      </w:r>
      <w:r w:rsidRPr="00F0732E">
        <w:t>Preskúmanie rozhodnutí o neprijatí na štúdium</w:t>
      </w:r>
      <w:r w:rsidRPr="00F0732E">
        <w:tab/>
      </w:r>
      <w:r w:rsidR="0091177A" w:rsidRPr="00F0732E">
        <w:fldChar w:fldCharType="begin"/>
      </w:r>
      <w:r w:rsidRPr="00F0732E">
        <w:instrText xml:space="preserve"> PAGEREF _Toc413009319 \h </w:instrText>
      </w:r>
      <w:r w:rsidR="0091177A" w:rsidRPr="00F0732E">
        <w:fldChar w:fldCharType="separate"/>
      </w:r>
      <w:r w:rsidR="005C1B86">
        <w:t>39</w:t>
      </w:r>
      <w:r w:rsidR="0091177A" w:rsidRPr="00F0732E">
        <w:fldChar w:fldCharType="end"/>
      </w:r>
    </w:p>
    <w:p w:rsidR="00B51749" w:rsidRPr="00F0732E" w:rsidRDefault="00B51749" w:rsidP="005B5DB2">
      <w:pPr>
        <w:pStyle w:val="Obsah3"/>
        <w:rPr>
          <w:lang w:eastAsia="sk-SK"/>
        </w:rPr>
      </w:pPr>
      <w:r w:rsidRPr="00F0732E">
        <w:t>3.5.5</w:t>
      </w:r>
      <w:r w:rsidRPr="00F0732E">
        <w:rPr>
          <w:lang w:eastAsia="sk-SK"/>
        </w:rPr>
        <w:tab/>
      </w:r>
      <w:r w:rsidRPr="00F0732E">
        <w:t>Vyhodnotenie prijímacieho konania na STU na akademický rok 2014/2015</w:t>
      </w:r>
      <w:r w:rsidRPr="00F0732E">
        <w:tab/>
      </w:r>
      <w:r w:rsidR="005B5DB2">
        <w:t>.........................................................................................................................................</w:t>
      </w:r>
      <w:r w:rsidR="0091177A" w:rsidRPr="00F0732E">
        <w:fldChar w:fldCharType="begin"/>
      </w:r>
      <w:r w:rsidRPr="00F0732E">
        <w:instrText xml:space="preserve"> PAGEREF _Toc413009320 \h </w:instrText>
      </w:r>
      <w:r w:rsidR="0091177A" w:rsidRPr="00F0732E">
        <w:fldChar w:fldCharType="separate"/>
      </w:r>
      <w:r w:rsidR="005C1B86">
        <w:t>40</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3.6</w:t>
      </w:r>
      <w:r w:rsidRPr="00F0732E">
        <w:rPr>
          <w:rFonts w:ascii="Cambria" w:hAnsi="Cambria"/>
          <w:color w:val="auto"/>
          <w:sz w:val="28"/>
          <w:szCs w:val="28"/>
          <w:lang w:eastAsia="sk-SK"/>
        </w:rPr>
        <w:tab/>
      </w:r>
      <w:r w:rsidRPr="00F0732E">
        <w:rPr>
          <w:rFonts w:ascii="Cambria" w:hAnsi="Cambria"/>
          <w:color w:val="auto"/>
          <w:sz w:val="28"/>
          <w:szCs w:val="28"/>
        </w:rPr>
        <w:t>Údaje o absolventoch vysokoškolského štúdia</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_Toc413009321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41</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3.7</w:t>
      </w:r>
      <w:r w:rsidRPr="00F0732E">
        <w:rPr>
          <w:rFonts w:ascii="Cambria" w:hAnsi="Cambria"/>
          <w:color w:val="auto"/>
          <w:sz w:val="28"/>
          <w:szCs w:val="28"/>
          <w:lang w:eastAsia="sk-SK"/>
        </w:rPr>
        <w:tab/>
      </w:r>
      <w:r w:rsidRPr="00F0732E">
        <w:rPr>
          <w:rFonts w:ascii="Cambria" w:hAnsi="Cambria"/>
          <w:color w:val="auto"/>
          <w:sz w:val="28"/>
          <w:szCs w:val="28"/>
        </w:rPr>
        <w:t>Prehľad úspechov študentov na národnej a medzinárodnej úrovni</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_Toc413009322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42</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3.8</w:t>
      </w:r>
      <w:r w:rsidRPr="00F0732E">
        <w:rPr>
          <w:rFonts w:ascii="Cambria" w:hAnsi="Cambria"/>
          <w:color w:val="auto"/>
          <w:sz w:val="28"/>
          <w:szCs w:val="28"/>
          <w:lang w:eastAsia="sk-SK"/>
        </w:rPr>
        <w:tab/>
      </w:r>
      <w:r w:rsidRPr="00F0732E">
        <w:rPr>
          <w:rFonts w:ascii="Cambria" w:hAnsi="Cambria"/>
          <w:color w:val="auto"/>
          <w:sz w:val="28"/>
          <w:szCs w:val="28"/>
        </w:rPr>
        <w:t>Prehľad ocenení študentov v rámci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_Toc413009323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46</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3.9</w:t>
      </w:r>
      <w:r w:rsidRPr="00F0732E">
        <w:rPr>
          <w:rFonts w:ascii="Cambria" w:hAnsi="Cambria"/>
          <w:color w:val="auto"/>
          <w:sz w:val="28"/>
          <w:szCs w:val="28"/>
          <w:lang w:eastAsia="sk-SK"/>
        </w:rPr>
        <w:tab/>
      </w:r>
      <w:r w:rsidRPr="00F0732E">
        <w:rPr>
          <w:rFonts w:ascii="Cambria" w:hAnsi="Cambria"/>
          <w:color w:val="auto"/>
          <w:sz w:val="28"/>
          <w:szCs w:val="28"/>
          <w:shd w:val="clear" w:color="auto" w:fill="FFFFFF"/>
        </w:rPr>
        <w:t>Študentská vedecká odborná činnosť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47</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4</w:t>
      </w:r>
      <w:r w:rsidRPr="00F0732E">
        <w:rPr>
          <w:rFonts w:ascii="Cambria" w:hAnsi="Cambria"/>
          <w:color w:val="auto"/>
          <w:sz w:val="28"/>
          <w:szCs w:val="28"/>
          <w:lang w:eastAsia="sk-SK"/>
        </w:rPr>
        <w:tab/>
      </w:r>
      <w:r w:rsidRPr="00F0732E">
        <w:rPr>
          <w:rFonts w:ascii="Cambria" w:hAnsi="Cambria"/>
          <w:color w:val="auto"/>
          <w:sz w:val="28"/>
          <w:szCs w:val="28"/>
        </w:rPr>
        <w:t>Poskytovanie ďalšieho vzdelávania</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49</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4.1</w:t>
      </w:r>
      <w:r w:rsidRPr="00F0732E">
        <w:rPr>
          <w:rFonts w:ascii="Cambria" w:hAnsi="Cambria"/>
          <w:color w:val="auto"/>
          <w:sz w:val="28"/>
          <w:szCs w:val="28"/>
          <w:lang w:eastAsia="sk-SK"/>
        </w:rPr>
        <w:tab/>
      </w:r>
      <w:r w:rsidRPr="00F0732E">
        <w:rPr>
          <w:rFonts w:ascii="Cambria" w:hAnsi="Cambria"/>
          <w:color w:val="auto"/>
          <w:sz w:val="28"/>
          <w:szCs w:val="28"/>
        </w:rPr>
        <w:t>Ďalšie vzdelávanie na fakultách a ústavoch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_Toc413009326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51</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4.2</w:t>
      </w:r>
      <w:r w:rsidRPr="00F0732E">
        <w:rPr>
          <w:rFonts w:ascii="Cambria" w:hAnsi="Cambria"/>
          <w:color w:val="auto"/>
          <w:sz w:val="28"/>
          <w:szCs w:val="28"/>
          <w:lang w:eastAsia="sk-SK"/>
        </w:rPr>
        <w:tab/>
      </w:r>
      <w:r w:rsidRPr="00F0732E">
        <w:rPr>
          <w:rFonts w:ascii="Cambria" w:hAnsi="Cambria"/>
          <w:color w:val="auto"/>
          <w:sz w:val="28"/>
          <w:szCs w:val="28"/>
        </w:rPr>
        <w:t>Aktivity Inštitútu celoživotného vzdelávania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_Toc413009327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52</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5</w:t>
      </w:r>
      <w:r w:rsidRPr="00F0732E">
        <w:rPr>
          <w:rFonts w:ascii="Cambria" w:hAnsi="Cambria"/>
          <w:color w:val="auto"/>
          <w:sz w:val="28"/>
          <w:szCs w:val="28"/>
          <w:lang w:eastAsia="sk-SK"/>
        </w:rPr>
        <w:tab/>
      </w:r>
      <w:r w:rsidRPr="00F0732E">
        <w:rPr>
          <w:rFonts w:ascii="Cambria" w:hAnsi="Cambria"/>
          <w:color w:val="auto"/>
          <w:sz w:val="28"/>
          <w:szCs w:val="28"/>
        </w:rPr>
        <w:t>Informácie o výskumnej, umeleckej a ďalšej tvorivej činnosti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_Toc413009328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54</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5.1</w:t>
      </w:r>
      <w:r w:rsidRPr="00F0732E">
        <w:rPr>
          <w:rFonts w:ascii="Cambria" w:hAnsi="Cambria"/>
          <w:color w:val="auto"/>
          <w:sz w:val="28"/>
          <w:szCs w:val="28"/>
          <w:lang w:eastAsia="sk-SK"/>
        </w:rPr>
        <w:tab/>
      </w:r>
      <w:r w:rsidRPr="00F0732E">
        <w:rPr>
          <w:rFonts w:ascii="Cambria" w:hAnsi="Cambria"/>
          <w:color w:val="auto"/>
          <w:sz w:val="28"/>
          <w:szCs w:val="28"/>
        </w:rPr>
        <w:t>Východiská a vedecko-výskumná výkonnosť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_Toc413009329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55</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lastRenderedPageBreak/>
        <w:t>5.2</w:t>
      </w:r>
      <w:r w:rsidRPr="00F0732E">
        <w:rPr>
          <w:rFonts w:ascii="Cambria" w:hAnsi="Cambria"/>
          <w:color w:val="auto"/>
          <w:sz w:val="28"/>
          <w:szCs w:val="28"/>
          <w:lang w:eastAsia="sk-SK"/>
        </w:rPr>
        <w:tab/>
      </w:r>
      <w:r w:rsidRPr="00F0732E">
        <w:rPr>
          <w:rFonts w:ascii="Cambria" w:hAnsi="Cambria"/>
          <w:color w:val="auto"/>
          <w:sz w:val="28"/>
          <w:szCs w:val="28"/>
        </w:rPr>
        <w:t>Financovanie výskumných aktivít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_Toc413009330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60</w:t>
      </w:r>
      <w:r w:rsidR="0091177A" w:rsidRPr="00F0732E">
        <w:rPr>
          <w:rFonts w:ascii="Cambria" w:hAnsi="Cambria"/>
          <w:sz w:val="28"/>
          <w:szCs w:val="28"/>
        </w:rPr>
        <w:fldChar w:fldCharType="end"/>
      </w:r>
    </w:p>
    <w:p w:rsidR="00B51749" w:rsidRPr="00F0732E" w:rsidRDefault="00B51749" w:rsidP="005B5DB2">
      <w:pPr>
        <w:pStyle w:val="Obsah3"/>
        <w:rPr>
          <w:lang w:eastAsia="sk-SK"/>
        </w:rPr>
      </w:pPr>
      <w:r w:rsidRPr="00F0732E">
        <w:t>5.2.1</w:t>
      </w:r>
      <w:r w:rsidRPr="00F0732E">
        <w:rPr>
          <w:lang w:eastAsia="sk-SK"/>
        </w:rPr>
        <w:tab/>
      </w:r>
      <w:r w:rsidRPr="00F0732E">
        <w:t>Domáce a zahraničné granty</w:t>
      </w:r>
      <w:r w:rsidRPr="00F0732E">
        <w:tab/>
      </w:r>
      <w:r w:rsidR="0091177A" w:rsidRPr="00F0732E">
        <w:fldChar w:fldCharType="begin"/>
      </w:r>
      <w:r w:rsidRPr="00F0732E">
        <w:instrText xml:space="preserve"> PAGEREF _Toc413009331 \h </w:instrText>
      </w:r>
      <w:r w:rsidR="0091177A" w:rsidRPr="00F0732E">
        <w:fldChar w:fldCharType="separate"/>
      </w:r>
      <w:r w:rsidR="005C1B86">
        <w:t>61</w:t>
      </w:r>
      <w:r w:rsidR="0091177A" w:rsidRPr="00F0732E">
        <w:fldChar w:fldCharType="end"/>
      </w:r>
    </w:p>
    <w:p w:rsidR="00B51749" w:rsidRPr="00F0732E" w:rsidRDefault="00B51749" w:rsidP="005B5DB2">
      <w:pPr>
        <w:pStyle w:val="Obsah3"/>
        <w:rPr>
          <w:color w:val="auto"/>
          <w:lang w:eastAsia="sk-SK"/>
        </w:rPr>
      </w:pPr>
      <w:r w:rsidRPr="00F0732E">
        <w:rPr>
          <w:color w:val="auto"/>
        </w:rPr>
        <w:t>5.2.2</w:t>
      </w:r>
      <w:r w:rsidRPr="00F0732E">
        <w:rPr>
          <w:color w:val="auto"/>
          <w:lang w:eastAsia="sk-SK"/>
        </w:rPr>
        <w:tab/>
      </w:r>
      <w:r w:rsidRPr="00F0732E">
        <w:rPr>
          <w:color w:val="auto"/>
        </w:rPr>
        <w:t>Publikačná aktivita STU</w:t>
      </w:r>
      <w:r w:rsidRPr="00F0732E">
        <w:tab/>
      </w:r>
      <w:r w:rsidR="0091177A" w:rsidRPr="00F0732E">
        <w:fldChar w:fldCharType="begin"/>
      </w:r>
      <w:r w:rsidRPr="00F0732E">
        <w:instrText xml:space="preserve"> PAGEREF _Toc413009332 \h </w:instrText>
      </w:r>
      <w:r w:rsidR="0091177A" w:rsidRPr="00F0732E">
        <w:fldChar w:fldCharType="separate"/>
      </w:r>
      <w:r w:rsidR="005C1B86">
        <w:t>65</w:t>
      </w:r>
      <w:r w:rsidR="0091177A" w:rsidRPr="00F0732E">
        <w:fldChar w:fldCharType="end"/>
      </w:r>
    </w:p>
    <w:p w:rsidR="00B51749" w:rsidRPr="00F0732E" w:rsidRDefault="00B51749" w:rsidP="005B5DB2">
      <w:pPr>
        <w:pStyle w:val="Obsah3"/>
        <w:rPr>
          <w:color w:val="auto"/>
          <w:lang w:eastAsia="sk-SK"/>
        </w:rPr>
      </w:pPr>
      <w:r w:rsidRPr="00F0732E">
        <w:t>5.2.3</w:t>
      </w:r>
      <w:r w:rsidRPr="00F0732E">
        <w:rPr>
          <w:color w:val="auto"/>
          <w:lang w:eastAsia="sk-SK"/>
        </w:rPr>
        <w:tab/>
      </w:r>
      <w:r w:rsidRPr="00F0732E">
        <w:t>Finančné prostriedky z projektov v rámci podnikateľskej činnosti</w:t>
      </w:r>
      <w:r w:rsidRPr="00F0732E">
        <w:tab/>
      </w:r>
      <w:r w:rsidR="0091177A" w:rsidRPr="00F0732E">
        <w:fldChar w:fldCharType="begin"/>
      </w:r>
      <w:r w:rsidRPr="00F0732E">
        <w:instrText xml:space="preserve"> PAGEREF _Toc413009333 \h </w:instrText>
      </w:r>
      <w:r w:rsidR="0091177A" w:rsidRPr="00F0732E">
        <w:fldChar w:fldCharType="separate"/>
      </w:r>
      <w:r w:rsidR="005C1B86">
        <w:t>71</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5.3</w:t>
      </w:r>
      <w:r w:rsidRPr="00F0732E">
        <w:rPr>
          <w:rFonts w:ascii="Cambria" w:hAnsi="Cambria"/>
          <w:color w:val="auto"/>
          <w:sz w:val="28"/>
          <w:szCs w:val="28"/>
          <w:lang w:eastAsia="sk-SK"/>
        </w:rPr>
        <w:tab/>
      </w:r>
      <w:r w:rsidRPr="00F0732E">
        <w:rPr>
          <w:rFonts w:ascii="Cambria" w:hAnsi="Cambria"/>
          <w:color w:val="auto"/>
          <w:sz w:val="28"/>
          <w:szCs w:val="28"/>
        </w:rPr>
        <w:t>Motivačné aktivity STU na podporu vedy a výskumu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_Toc413009334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72</w:t>
      </w:r>
      <w:r w:rsidR="0091177A" w:rsidRPr="00F0732E">
        <w:rPr>
          <w:rFonts w:ascii="Cambria" w:hAnsi="Cambria"/>
          <w:sz w:val="28"/>
          <w:szCs w:val="28"/>
        </w:rPr>
        <w:fldChar w:fldCharType="end"/>
      </w:r>
    </w:p>
    <w:p w:rsidR="00B51749" w:rsidRPr="00F0732E" w:rsidRDefault="00B51749" w:rsidP="005B5DB2">
      <w:pPr>
        <w:pStyle w:val="Obsah3"/>
        <w:rPr>
          <w:lang w:eastAsia="sk-SK"/>
        </w:rPr>
      </w:pPr>
      <w:r w:rsidRPr="00F0732E">
        <w:t>5.3.1</w:t>
      </w:r>
      <w:r w:rsidRPr="00F0732E">
        <w:rPr>
          <w:lang w:eastAsia="sk-SK"/>
        </w:rPr>
        <w:tab/>
      </w:r>
      <w:r w:rsidRPr="00F0732E">
        <w:t>Projekty na podporu mladých výskumných pracovníkov</w:t>
      </w:r>
      <w:r w:rsidRPr="00F0732E">
        <w:tab/>
      </w:r>
      <w:r w:rsidR="0091177A" w:rsidRPr="00F0732E">
        <w:fldChar w:fldCharType="begin"/>
      </w:r>
      <w:r w:rsidRPr="00F0732E">
        <w:instrText xml:space="preserve"> PAGEREF _Toc413009335 \h </w:instrText>
      </w:r>
      <w:r w:rsidR="0091177A" w:rsidRPr="00F0732E">
        <w:fldChar w:fldCharType="separate"/>
      </w:r>
      <w:r w:rsidR="005C1B86">
        <w:t>72</w:t>
      </w:r>
      <w:r w:rsidR="0091177A" w:rsidRPr="00F0732E">
        <w:fldChar w:fldCharType="end"/>
      </w:r>
    </w:p>
    <w:p w:rsidR="00B51749" w:rsidRPr="00F0732E" w:rsidRDefault="00B51749" w:rsidP="005B5DB2">
      <w:pPr>
        <w:pStyle w:val="Obsah3"/>
        <w:rPr>
          <w:color w:val="auto"/>
          <w:lang w:eastAsia="sk-SK"/>
        </w:rPr>
      </w:pPr>
      <w:r w:rsidRPr="00F0732E">
        <w:rPr>
          <w:color w:val="auto"/>
        </w:rPr>
        <w:t>5.3.2</w:t>
      </w:r>
      <w:r w:rsidRPr="00F0732E">
        <w:rPr>
          <w:color w:val="auto"/>
          <w:lang w:eastAsia="sk-SK"/>
        </w:rPr>
        <w:tab/>
      </w:r>
      <w:r w:rsidRPr="00F0732E">
        <w:rPr>
          <w:color w:val="auto"/>
        </w:rPr>
        <w:t>Ocenenie Vedec roka STU</w:t>
      </w:r>
      <w:r w:rsidRPr="00F0732E">
        <w:tab/>
      </w:r>
      <w:r w:rsidR="0091177A" w:rsidRPr="00F0732E">
        <w:fldChar w:fldCharType="begin"/>
      </w:r>
      <w:r w:rsidRPr="00F0732E">
        <w:instrText xml:space="preserve"> PAGEREF _Toc413009336 \h </w:instrText>
      </w:r>
      <w:r w:rsidR="0091177A" w:rsidRPr="00F0732E">
        <w:fldChar w:fldCharType="separate"/>
      </w:r>
      <w:r w:rsidR="005C1B86">
        <w:t>74</w:t>
      </w:r>
      <w:r w:rsidR="0091177A" w:rsidRPr="00F0732E">
        <w:fldChar w:fldCharType="end"/>
      </w:r>
    </w:p>
    <w:p w:rsidR="00B51749" w:rsidRPr="00F0732E" w:rsidRDefault="00B51749" w:rsidP="005B5DB2">
      <w:pPr>
        <w:pStyle w:val="Obsah3"/>
        <w:rPr>
          <w:lang w:eastAsia="sk-SK"/>
        </w:rPr>
      </w:pPr>
      <w:r w:rsidRPr="00F0732E">
        <w:t>5.3.3</w:t>
      </w:r>
      <w:r w:rsidRPr="00F0732E">
        <w:rPr>
          <w:lang w:eastAsia="sk-SK"/>
        </w:rPr>
        <w:tab/>
      </w:r>
      <w:r w:rsidRPr="00F0732E">
        <w:t>Výzva o najlepšiu publikáciu</w:t>
      </w:r>
      <w:r w:rsidRPr="00F0732E">
        <w:tab/>
      </w:r>
      <w:r w:rsidR="0091177A" w:rsidRPr="00F0732E">
        <w:fldChar w:fldCharType="begin"/>
      </w:r>
      <w:r w:rsidRPr="00F0732E">
        <w:instrText xml:space="preserve"> PAGEREF _Toc413009337 \h </w:instrText>
      </w:r>
      <w:r w:rsidR="0091177A" w:rsidRPr="00F0732E">
        <w:fldChar w:fldCharType="separate"/>
      </w:r>
      <w:r w:rsidR="005C1B86">
        <w:t>74</w:t>
      </w:r>
      <w:r w:rsidR="0091177A" w:rsidRPr="00F0732E">
        <w:fldChar w:fldCharType="end"/>
      </w:r>
    </w:p>
    <w:p w:rsidR="00B51749" w:rsidRPr="00F0732E" w:rsidRDefault="00B51749" w:rsidP="005B5DB2">
      <w:pPr>
        <w:pStyle w:val="Obsah3"/>
        <w:rPr>
          <w:color w:val="auto"/>
          <w:lang w:eastAsia="sk-SK"/>
        </w:rPr>
      </w:pPr>
      <w:r w:rsidRPr="00F0732E">
        <w:t>5.3.4</w:t>
      </w:r>
      <w:r w:rsidRPr="00F0732E">
        <w:rPr>
          <w:color w:val="auto"/>
          <w:lang w:eastAsia="sk-SK"/>
        </w:rPr>
        <w:tab/>
      </w:r>
      <w:r w:rsidRPr="00F0732E">
        <w:t>. Posdoktorandské pracovné pobyty</w:t>
      </w:r>
      <w:r w:rsidRPr="00F0732E">
        <w:tab/>
      </w:r>
      <w:r w:rsidR="0091177A" w:rsidRPr="00F0732E">
        <w:fldChar w:fldCharType="begin"/>
      </w:r>
      <w:r w:rsidRPr="00F0732E">
        <w:instrText xml:space="preserve"> PAGEREF _Toc413009338 \h </w:instrText>
      </w:r>
      <w:r w:rsidR="0091177A" w:rsidRPr="00F0732E">
        <w:fldChar w:fldCharType="separate"/>
      </w:r>
      <w:r w:rsidR="005C1B86">
        <w:t>75</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5.4</w:t>
      </w:r>
      <w:r w:rsidRPr="00F0732E">
        <w:rPr>
          <w:rFonts w:ascii="Cambria" w:hAnsi="Cambria"/>
          <w:color w:val="auto"/>
          <w:sz w:val="28"/>
          <w:szCs w:val="28"/>
          <w:lang w:eastAsia="sk-SK"/>
        </w:rPr>
        <w:tab/>
      </w:r>
      <w:r w:rsidRPr="00F0732E">
        <w:rPr>
          <w:rFonts w:ascii="Cambria" w:hAnsi="Cambria"/>
          <w:sz w:val="28"/>
          <w:szCs w:val="28"/>
        </w:rPr>
        <w:t>Evaluácia vedecko-výskumnej činnosti STU za obdobie rokov 2011-2014 na báze  softvérového produktu SciVal</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_Toc413009339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76</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5.5</w:t>
      </w:r>
      <w:r w:rsidRPr="00F0732E">
        <w:rPr>
          <w:rFonts w:ascii="Cambria" w:hAnsi="Cambria"/>
          <w:color w:val="auto"/>
          <w:sz w:val="28"/>
          <w:szCs w:val="28"/>
          <w:lang w:eastAsia="sk-SK"/>
        </w:rPr>
        <w:tab/>
      </w:r>
      <w:r w:rsidRPr="00F0732E">
        <w:rPr>
          <w:rFonts w:ascii="Cambria" w:hAnsi="Cambria"/>
          <w:color w:val="auto"/>
          <w:sz w:val="28"/>
          <w:szCs w:val="28"/>
        </w:rPr>
        <w:t>Budovanie infraštruktúry výskumu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_Toc413009340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86</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5.6</w:t>
      </w:r>
      <w:r w:rsidRPr="00F0732E">
        <w:rPr>
          <w:rFonts w:ascii="Cambria" w:hAnsi="Cambria"/>
          <w:color w:val="auto"/>
          <w:sz w:val="28"/>
          <w:szCs w:val="28"/>
          <w:lang w:eastAsia="sk-SK"/>
        </w:rPr>
        <w:tab/>
      </w:r>
      <w:r w:rsidRPr="00F0732E">
        <w:rPr>
          <w:rFonts w:ascii="Cambria" w:hAnsi="Cambria"/>
          <w:color w:val="auto"/>
          <w:sz w:val="28"/>
          <w:szCs w:val="28"/>
        </w:rPr>
        <w:t>Ochrana duševného vlastníctva a zabezpečenie využitia výsledkov výskumu v praxi</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_Toc413009341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87</w:t>
      </w:r>
      <w:r w:rsidR="0091177A" w:rsidRPr="00F0732E">
        <w:rPr>
          <w:rFonts w:ascii="Cambria" w:hAnsi="Cambria"/>
          <w:sz w:val="28"/>
          <w:szCs w:val="28"/>
        </w:rPr>
        <w:fldChar w:fldCharType="end"/>
      </w:r>
    </w:p>
    <w:p w:rsidR="00B51749" w:rsidRPr="00F0732E" w:rsidRDefault="00B51749" w:rsidP="005B5DB2">
      <w:pPr>
        <w:pStyle w:val="Obsah3"/>
        <w:rPr>
          <w:color w:val="auto"/>
          <w:lang w:eastAsia="sk-SK"/>
        </w:rPr>
      </w:pPr>
      <w:r w:rsidRPr="00F0732E">
        <w:rPr>
          <w:color w:val="auto"/>
        </w:rPr>
        <w:t>5.6.1</w:t>
      </w:r>
      <w:r w:rsidRPr="00F0732E">
        <w:rPr>
          <w:color w:val="auto"/>
          <w:lang w:eastAsia="sk-SK"/>
        </w:rPr>
        <w:tab/>
      </w:r>
      <w:r w:rsidRPr="00F0732E">
        <w:rPr>
          <w:color w:val="auto"/>
        </w:rPr>
        <w:t>Know-how centrum STU</w:t>
      </w:r>
      <w:r w:rsidRPr="00F0732E">
        <w:tab/>
      </w:r>
      <w:r w:rsidR="0091177A" w:rsidRPr="00F0732E">
        <w:fldChar w:fldCharType="begin"/>
      </w:r>
      <w:r w:rsidRPr="00F0732E">
        <w:instrText xml:space="preserve"> PAGEREF _Toc413009342 \h </w:instrText>
      </w:r>
      <w:r w:rsidR="0091177A" w:rsidRPr="00F0732E">
        <w:fldChar w:fldCharType="separate"/>
      </w:r>
      <w:r w:rsidR="005C1B86">
        <w:t>87</w:t>
      </w:r>
      <w:r w:rsidR="0091177A" w:rsidRPr="00F0732E">
        <w:fldChar w:fldCharType="end"/>
      </w:r>
    </w:p>
    <w:p w:rsidR="00B51749" w:rsidRPr="00F0732E" w:rsidRDefault="00B51749" w:rsidP="005B5DB2">
      <w:pPr>
        <w:pStyle w:val="Obsah3"/>
        <w:rPr>
          <w:color w:val="auto"/>
          <w:lang w:eastAsia="sk-SK"/>
        </w:rPr>
      </w:pPr>
      <w:r w:rsidRPr="00F0732E">
        <w:t>5.6.2</w:t>
      </w:r>
      <w:r w:rsidRPr="00F0732E">
        <w:rPr>
          <w:color w:val="auto"/>
          <w:lang w:eastAsia="sk-SK"/>
        </w:rPr>
        <w:tab/>
      </w:r>
      <w:r w:rsidRPr="00F0732E">
        <w:t>Univerzitný technologický inkubátor</w:t>
      </w:r>
      <w:r w:rsidRPr="00F0732E">
        <w:tab/>
      </w:r>
      <w:r w:rsidR="0091177A" w:rsidRPr="00F0732E">
        <w:fldChar w:fldCharType="begin"/>
      </w:r>
      <w:r w:rsidRPr="00F0732E">
        <w:instrText xml:space="preserve"> PAGEREF _Toc413009343 \h </w:instrText>
      </w:r>
      <w:r w:rsidR="0091177A" w:rsidRPr="00F0732E">
        <w:fldChar w:fldCharType="separate"/>
      </w:r>
      <w:r w:rsidR="005C1B86">
        <w:t>89</w:t>
      </w:r>
      <w:r w:rsidR="0091177A" w:rsidRPr="00F0732E">
        <w:fldChar w:fldCharType="end"/>
      </w:r>
    </w:p>
    <w:p w:rsidR="00B51749" w:rsidRPr="00F0732E" w:rsidRDefault="00B51749" w:rsidP="005B5DB2">
      <w:pPr>
        <w:pStyle w:val="Obsah3"/>
        <w:rPr>
          <w:color w:val="auto"/>
          <w:lang w:eastAsia="sk-SK"/>
        </w:rPr>
      </w:pPr>
      <w:r w:rsidRPr="00F0732E">
        <w:rPr>
          <w:color w:val="auto"/>
        </w:rPr>
        <w:t>5.6.3</w:t>
      </w:r>
      <w:r w:rsidRPr="00F0732E">
        <w:rPr>
          <w:color w:val="auto"/>
          <w:lang w:eastAsia="sk-SK"/>
        </w:rPr>
        <w:tab/>
      </w:r>
      <w:r w:rsidRPr="00F0732E">
        <w:rPr>
          <w:color w:val="auto"/>
        </w:rPr>
        <w:t>STU Scientific</w:t>
      </w:r>
      <w:r w:rsidRPr="00F0732E">
        <w:tab/>
      </w:r>
      <w:r w:rsidR="0091177A" w:rsidRPr="00F0732E">
        <w:fldChar w:fldCharType="begin"/>
      </w:r>
      <w:r w:rsidRPr="00F0732E">
        <w:instrText xml:space="preserve"> PAGEREF _Toc413009344 \h </w:instrText>
      </w:r>
      <w:r w:rsidR="0091177A" w:rsidRPr="00F0732E">
        <w:fldChar w:fldCharType="separate"/>
      </w:r>
      <w:r w:rsidR="005C1B86">
        <w:t>90</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5.7</w:t>
      </w:r>
      <w:r w:rsidRPr="00F0732E">
        <w:rPr>
          <w:rFonts w:ascii="Cambria" w:hAnsi="Cambria"/>
          <w:color w:val="auto"/>
          <w:sz w:val="28"/>
          <w:szCs w:val="28"/>
          <w:lang w:eastAsia="sk-SK"/>
        </w:rPr>
        <w:tab/>
      </w:r>
      <w:r w:rsidRPr="00F0732E">
        <w:rPr>
          <w:rFonts w:ascii="Cambria" w:hAnsi="Cambria"/>
          <w:color w:val="auto"/>
          <w:sz w:val="28"/>
          <w:szCs w:val="28"/>
        </w:rPr>
        <w:t>Podporné služby výskumu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92</w:t>
      </w:r>
      <w:r w:rsidR="0091177A" w:rsidRPr="00F0732E">
        <w:rPr>
          <w:rFonts w:ascii="Cambria" w:hAnsi="Cambria"/>
          <w:sz w:val="28"/>
          <w:szCs w:val="28"/>
        </w:rPr>
        <w:fldChar w:fldCharType="end"/>
      </w:r>
    </w:p>
    <w:p w:rsidR="00B51749" w:rsidRPr="00F0732E" w:rsidRDefault="00B51749" w:rsidP="005B5DB2">
      <w:pPr>
        <w:pStyle w:val="Obsah3"/>
        <w:rPr>
          <w:color w:val="auto"/>
          <w:lang w:eastAsia="sk-SK"/>
        </w:rPr>
      </w:pPr>
      <w:r w:rsidRPr="00F0732E">
        <w:t>5.7.1</w:t>
      </w:r>
      <w:r w:rsidRPr="00F0732E">
        <w:rPr>
          <w:color w:val="auto"/>
          <w:lang w:eastAsia="sk-SK"/>
        </w:rPr>
        <w:tab/>
      </w:r>
      <w:r w:rsidRPr="00F0732E">
        <w:t>Univerzitná knižnica  STU</w:t>
      </w:r>
      <w:r w:rsidRPr="00F0732E">
        <w:tab/>
      </w:r>
      <w:r w:rsidR="0091177A" w:rsidRPr="00F0732E">
        <w:fldChar w:fldCharType="begin"/>
      </w:r>
      <w:r w:rsidRPr="00F0732E">
        <w:instrText xml:space="preserve"> PAGEREF _Toc413009346 \h </w:instrText>
      </w:r>
      <w:r w:rsidR="0091177A" w:rsidRPr="00F0732E">
        <w:fldChar w:fldCharType="separate"/>
      </w:r>
      <w:r w:rsidR="005C1B86">
        <w:t>92</w:t>
      </w:r>
      <w:r w:rsidR="0091177A" w:rsidRPr="00F0732E">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5.8</w:t>
      </w:r>
      <w:r w:rsidRPr="00F0732E">
        <w:rPr>
          <w:rFonts w:ascii="Cambria" w:hAnsi="Cambria"/>
          <w:color w:val="auto"/>
          <w:sz w:val="28"/>
          <w:szCs w:val="28"/>
          <w:lang w:eastAsia="sk-SK"/>
        </w:rPr>
        <w:tab/>
      </w:r>
      <w:r w:rsidRPr="00F0732E">
        <w:rPr>
          <w:rFonts w:ascii="Cambria" w:hAnsi="Cambria"/>
          <w:color w:val="auto"/>
          <w:sz w:val="28"/>
          <w:szCs w:val="28"/>
        </w:rPr>
        <w:t>Výskumná činnosť nepodporovaná z grantov</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_Toc413009347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94</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6</w:t>
      </w:r>
      <w:r w:rsidRPr="00F0732E">
        <w:rPr>
          <w:rFonts w:ascii="Cambria" w:hAnsi="Cambria"/>
          <w:color w:val="auto"/>
          <w:sz w:val="28"/>
          <w:szCs w:val="28"/>
          <w:lang w:eastAsia="sk-SK"/>
        </w:rPr>
        <w:tab/>
      </w:r>
      <w:r w:rsidRPr="00F0732E">
        <w:rPr>
          <w:rFonts w:ascii="Cambria" w:hAnsi="Cambria"/>
          <w:color w:val="auto"/>
          <w:sz w:val="28"/>
          <w:szCs w:val="28"/>
        </w:rPr>
        <w:t>Habilitačné konania a konania na vymenúvanie profesorov</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_Toc413009348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95</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7</w:t>
      </w:r>
      <w:r w:rsidRPr="00F0732E">
        <w:rPr>
          <w:rFonts w:ascii="Cambria" w:hAnsi="Cambria"/>
          <w:color w:val="auto"/>
          <w:sz w:val="28"/>
          <w:szCs w:val="28"/>
          <w:lang w:eastAsia="sk-SK"/>
        </w:rPr>
        <w:tab/>
      </w:r>
      <w:r w:rsidRPr="00F0732E">
        <w:rPr>
          <w:rFonts w:ascii="Cambria" w:hAnsi="Cambria"/>
          <w:color w:val="auto"/>
          <w:sz w:val="28"/>
          <w:szCs w:val="28"/>
        </w:rPr>
        <w:t>Zamestnanci vysokej školy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_Toc413009349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99</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8</w:t>
      </w:r>
      <w:r w:rsidRPr="00F0732E">
        <w:rPr>
          <w:rFonts w:ascii="Cambria" w:hAnsi="Cambria"/>
          <w:color w:val="auto"/>
          <w:sz w:val="28"/>
          <w:szCs w:val="28"/>
          <w:lang w:eastAsia="sk-SK"/>
        </w:rPr>
        <w:tab/>
      </w:r>
      <w:r w:rsidRPr="00F0732E">
        <w:rPr>
          <w:rFonts w:ascii="Cambria" w:hAnsi="Cambria"/>
          <w:color w:val="auto"/>
          <w:sz w:val="28"/>
          <w:szCs w:val="28"/>
        </w:rPr>
        <w:t>Podpora študentov</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_Toc413009350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101</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8.1</w:t>
      </w:r>
      <w:r w:rsidRPr="00F0732E">
        <w:rPr>
          <w:rFonts w:ascii="Cambria" w:hAnsi="Cambria"/>
          <w:color w:val="auto"/>
          <w:sz w:val="28"/>
          <w:szCs w:val="28"/>
          <w:lang w:eastAsia="sk-SK"/>
        </w:rPr>
        <w:tab/>
      </w:r>
      <w:r w:rsidRPr="00F0732E">
        <w:rPr>
          <w:rFonts w:ascii="Cambria" w:hAnsi="Cambria"/>
          <w:color w:val="auto"/>
          <w:sz w:val="28"/>
          <w:szCs w:val="28"/>
          <w:shd w:val="clear" w:color="auto" w:fill="FFFFFF"/>
        </w:rPr>
        <w:t>Sociálne štipendiá</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_Toc413009351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102</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8.2</w:t>
      </w:r>
      <w:r w:rsidRPr="00F0732E">
        <w:rPr>
          <w:rFonts w:ascii="Cambria" w:hAnsi="Cambria"/>
          <w:color w:val="auto"/>
          <w:sz w:val="28"/>
          <w:szCs w:val="28"/>
          <w:lang w:eastAsia="sk-SK"/>
        </w:rPr>
        <w:tab/>
      </w:r>
      <w:r w:rsidRPr="00F0732E">
        <w:rPr>
          <w:rFonts w:ascii="Cambria" w:hAnsi="Cambria"/>
          <w:color w:val="auto"/>
          <w:sz w:val="28"/>
          <w:szCs w:val="28"/>
          <w:shd w:val="clear" w:color="auto" w:fill="FFFFFF"/>
        </w:rPr>
        <w:t>Motivačné štipendiá</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_Toc413009352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102</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8.3</w:t>
      </w:r>
      <w:r w:rsidRPr="00F0732E">
        <w:rPr>
          <w:rFonts w:ascii="Cambria" w:hAnsi="Cambria"/>
          <w:color w:val="auto"/>
          <w:sz w:val="28"/>
          <w:szCs w:val="28"/>
          <w:lang w:eastAsia="sk-SK"/>
        </w:rPr>
        <w:tab/>
      </w:r>
      <w:r w:rsidRPr="00F0732E">
        <w:rPr>
          <w:rFonts w:ascii="Cambria" w:hAnsi="Cambria"/>
          <w:color w:val="auto"/>
          <w:sz w:val="28"/>
          <w:szCs w:val="28"/>
          <w:shd w:val="clear" w:color="auto" w:fill="FFFFFF"/>
        </w:rPr>
        <w:t>Pôžičky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_Toc413009353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105</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8.4</w:t>
      </w:r>
      <w:r w:rsidRPr="00F0732E">
        <w:rPr>
          <w:rFonts w:ascii="Cambria" w:hAnsi="Cambria"/>
          <w:color w:val="auto"/>
          <w:sz w:val="28"/>
          <w:szCs w:val="28"/>
          <w:lang w:eastAsia="sk-SK"/>
        </w:rPr>
        <w:tab/>
      </w:r>
      <w:r w:rsidRPr="00F0732E">
        <w:rPr>
          <w:rFonts w:ascii="Cambria" w:hAnsi="Cambria"/>
          <w:color w:val="auto"/>
          <w:sz w:val="28"/>
          <w:szCs w:val="28"/>
          <w:shd w:val="clear" w:color="auto" w:fill="FFFFFF"/>
        </w:rPr>
        <w:t>Ubytovanie</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106</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8.5</w:t>
      </w:r>
      <w:r w:rsidRPr="00F0732E">
        <w:rPr>
          <w:rFonts w:ascii="Cambria" w:hAnsi="Cambria"/>
          <w:color w:val="auto"/>
          <w:sz w:val="28"/>
          <w:szCs w:val="28"/>
          <w:lang w:eastAsia="sk-SK"/>
        </w:rPr>
        <w:tab/>
      </w:r>
      <w:r w:rsidRPr="00F0732E">
        <w:rPr>
          <w:rFonts w:ascii="Cambria" w:hAnsi="Cambria"/>
          <w:color w:val="auto"/>
          <w:sz w:val="28"/>
          <w:szCs w:val="28"/>
        </w:rPr>
        <w:t>Stravovanie</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108</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8.6</w:t>
      </w:r>
      <w:r w:rsidRPr="00F0732E">
        <w:rPr>
          <w:rFonts w:ascii="Cambria" w:hAnsi="Cambria"/>
          <w:color w:val="auto"/>
          <w:sz w:val="28"/>
          <w:szCs w:val="28"/>
          <w:lang w:eastAsia="sk-SK"/>
        </w:rPr>
        <w:tab/>
      </w:r>
      <w:r w:rsidRPr="00F0732E">
        <w:rPr>
          <w:rFonts w:ascii="Cambria" w:hAnsi="Cambria"/>
          <w:color w:val="auto"/>
          <w:sz w:val="28"/>
          <w:szCs w:val="28"/>
        </w:rPr>
        <w:t>Študentské organizácie</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_Toc413009356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109</w:t>
      </w:r>
      <w:r w:rsidR="0091177A" w:rsidRPr="00F0732E">
        <w:rPr>
          <w:rFonts w:ascii="Cambria" w:hAnsi="Cambria"/>
          <w:sz w:val="28"/>
          <w:szCs w:val="28"/>
        </w:rPr>
        <w:fldChar w:fldCharType="end"/>
      </w:r>
    </w:p>
    <w:p w:rsidR="00B51749" w:rsidRPr="00F0732E" w:rsidRDefault="00B51749" w:rsidP="00B51749">
      <w:pPr>
        <w:pStyle w:val="Obsah1"/>
        <w:tabs>
          <w:tab w:val="left" w:pos="480"/>
          <w:tab w:val="right" w:leader="dot" w:pos="9056"/>
        </w:tabs>
        <w:rPr>
          <w:rFonts w:ascii="Cambria" w:hAnsi="Cambria"/>
          <w:color w:val="auto"/>
          <w:sz w:val="28"/>
          <w:szCs w:val="28"/>
          <w:lang w:eastAsia="sk-SK"/>
        </w:rPr>
      </w:pPr>
      <w:r w:rsidRPr="00F0732E">
        <w:rPr>
          <w:rFonts w:ascii="Cambria" w:hAnsi="Cambria"/>
          <w:color w:val="auto"/>
          <w:sz w:val="28"/>
          <w:szCs w:val="28"/>
        </w:rPr>
        <w:t>9</w:t>
      </w:r>
      <w:r w:rsidRPr="00F0732E">
        <w:rPr>
          <w:rFonts w:ascii="Cambria" w:hAnsi="Cambria"/>
          <w:color w:val="auto"/>
          <w:sz w:val="28"/>
          <w:szCs w:val="28"/>
          <w:lang w:eastAsia="sk-SK"/>
        </w:rPr>
        <w:tab/>
      </w:r>
      <w:r w:rsidRPr="00F0732E">
        <w:rPr>
          <w:rFonts w:ascii="Cambria" w:hAnsi="Cambria"/>
          <w:color w:val="auto"/>
          <w:sz w:val="28"/>
          <w:szCs w:val="28"/>
        </w:rPr>
        <w:t>Podporné činnosti vysokej školy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_Toc413009357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110</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9.1</w:t>
      </w:r>
      <w:r w:rsidRPr="00F0732E">
        <w:rPr>
          <w:rFonts w:ascii="Cambria" w:hAnsi="Cambria"/>
          <w:color w:val="auto"/>
          <w:sz w:val="28"/>
          <w:szCs w:val="28"/>
          <w:lang w:eastAsia="sk-SK"/>
        </w:rPr>
        <w:tab/>
      </w:r>
      <w:r w:rsidRPr="00F0732E">
        <w:rPr>
          <w:rFonts w:ascii="Cambria" w:hAnsi="Cambria"/>
          <w:color w:val="auto"/>
          <w:sz w:val="28"/>
          <w:szCs w:val="28"/>
        </w:rPr>
        <w:t>Informačné a komunikačné technológie</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_Toc413009358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110</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9.2</w:t>
      </w:r>
      <w:r w:rsidRPr="00F0732E">
        <w:rPr>
          <w:rFonts w:ascii="Cambria" w:hAnsi="Cambria"/>
          <w:color w:val="auto"/>
          <w:sz w:val="28"/>
          <w:szCs w:val="28"/>
          <w:lang w:eastAsia="sk-SK"/>
        </w:rPr>
        <w:tab/>
      </w:r>
      <w:r w:rsidRPr="00F0732E">
        <w:rPr>
          <w:rFonts w:ascii="Cambria" w:hAnsi="Cambria"/>
          <w:color w:val="auto"/>
          <w:sz w:val="28"/>
          <w:szCs w:val="28"/>
        </w:rPr>
        <w:t>Vysokoškolský umelecký súbor Technik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_Toc413009359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111</w:t>
      </w:r>
      <w:r w:rsidR="0091177A" w:rsidRPr="00F0732E">
        <w:rPr>
          <w:rFonts w:ascii="Cambria" w:hAnsi="Cambria"/>
          <w:sz w:val="28"/>
          <w:szCs w:val="28"/>
        </w:rPr>
        <w:fldChar w:fldCharType="end"/>
      </w:r>
    </w:p>
    <w:p w:rsidR="00B51749" w:rsidRPr="00F0732E" w:rsidRDefault="00B51749" w:rsidP="00B51749">
      <w:pPr>
        <w:pStyle w:val="Obsah2"/>
        <w:tabs>
          <w:tab w:val="left" w:pos="880"/>
          <w:tab w:val="right" w:leader="dot" w:pos="9056"/>
        </w:tabs>
        <w:rPr>
          <w:rFonts w:ascii="Cambria" w:hAnsi="Cambria"/>
          <w:color w:val="auto"/>
          <w:sz w:val="28"/>
          <w:szCs w:val="28"/>
          <w:lang w:eastAsia="sk-SK"/>
        </w:rPr>
      </w:pPr>
      <w:r w:rsidRPr="00F0732E">
        <w:rPr>
          <w:rFonts w:ascii="Cambria" w:hAnsi="Cambria"/>
          <w:sz w:val="28"/>
          <w:szCs w:val="28"/>
        </w:rPr>
        <w:t>9.3</w:t>
      </w:r>
      <w:r w:rsidRPr="00F0732E">
        <w:rPr>
          <w:rFonts w:ascii="Cambria" w:hAnsi="Cambria"/>
          <w:color w:val="auto"/>
          <w:sz w:val="28"/>
          <w:szCs w:val="28"/>
          <w:lang w:eastAsia="sk-SK"/>
        </w:rPr>
        <w:tab/>
      </w:r>
      <w:r w:rsidRPr="00F0732E">
        <w:rPr>
          <w:rFonts w:ascii="Cambria" w:hAnsi="Cambria"/>
          <w:color w:val="auto"/>
          <w:sz w:val="28"/>
          <w:szCs w:val="28"/>
        </w:rPr>
        <w:t>Centrum akademického športu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_Toc413009360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114</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t>10</w:t>
      </w:r>
      <w:r w:rsidRPr="00F0732E">
        <w:rPr>
          <w:rFonts w:ascii="Cambria" w:hAnsi="Cambria"/>
          <w:color w:val="auto"/>
          <w:sz w:val="28"/>
          <w:szCs w:val="28"/>
          <w:lang w:eastAsia="sk-SK"/>
        </w:rPr>
        <w:tab/>
      </w:r>
      <w:r w:rsidRPr="00F0732E">
        <w:rPr>
          <w:rFonts w:ascii="Cambria" w:hAnsi="Cambria"/>
          <w:color w:val="auto"/>
          <w:sz w:val="28"/>
          <w:szCs w:val="28"/>
        </w:rPr>
        <w:t>Rozvoj vysokej školy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_Toc413009361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114</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lastRenderedPageBreak/>
        <w:t>11</w:t>
      </w:r>
      <w:r w:rsidRPr="00F0732E">
        <w:rPr>
          <w:rFonts w:ascii="Cambria" w:hAnsi="Cambria"/>
          <w:color w:val="auto"/>
          <w:sz w:val="28"/>
          <w:szCs w:val="28"/>
          <w:lang w:eastAsia="sk-SK"/>
        </w:rPr>
        <w:tab/>
      </w:r>
      <w:r w:rsidRPr="00F0732E">
        <w:rPr>
          <w:rFonts w:ascii="Cambria" w:hAnsi="Cambria"/>
          <w:color w:val="auto"/>
          <w:sz w:val="28"/>
          <w:szCs w:val="28"/>
        </w:rPr>
        <w:t>Medzinárodné aktivity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_Toc413009362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116</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11.1</w:t>
      </w:r>
      <w:r w:rsidRPr="00F0732E">
        <w:rPr>
          <w:rFonts w:ascii="Cambria" w:hAnsi="Cambria"/>
          <w:color w:val="auto"/>
          <w:sz w:val="28"/>
          <w:szCs w:val="28"/>
          <w:lang w:eastAsia="sk-SK"/>
        </w:rPr>
        <w:tab/>
      </w:r>
      <w:r w:rsidRPr="00F0732E">
        <w:rPr>
          <w:rFonts w:ascii="Cambria" w:hAnsi="Cambria"/>
          <w:color w:val="auto"/>
          <w:sz w:val="28"/>
          <w:szCs w:val="28"/>
        </w:rPr>
        <w:t>Medzinárodné dohody a partnerstvá</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_Toc413009363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117</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11.2</w:t>
      </w:r>
      <w:r w:rsidRPr="00F0732E">
        <w:rPr>
          <w:rFonts w:ascii="Cambria" w:hAnsi="Cambria"/>
          <w:color w:val="auto"/>
          <w:sz w:val="28"/>
          <w:szCs w:val="28"/>
          <w:lang w:eastAsia="sk-SK"/>
        </w:rPr>
        <w:tab/>
      </w:r>
      <w:r w:rsidRPr="00F0732E">
        <w:rPr>
          <w:rFonts w:ascii="Cambria" w:hAnsi="Cambria"/>
          <w:color w:val="auto"/>
          <w:sz w:val="28"/>
          <w:szCs w:val="28"/>
        </w:rPr>
        <w:t>Medzinárodné vzdeláavacie projekty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118</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11.3</w:t>
      </w:r>
      <w:r w:rsidRPr="00F0732E">
        <w:rPr>
          <w:rFonts w:ascii="Cambria" w:hAnsi="Cambria"/>
          <w:color w:val="auto"/>
          <w:sz w:val="28"/>
          <w:szCs w:val="28"/>
          <w:lang w:eastAsia="sk-SK"/>
        </w:rPr>
        <w:tab/>
      </w:r>
      <w:r w:rsidRPr="00F0732E">
        <w:rPr>
          <w:rFonts w:ascii="Cambria" w:hAnsi="Cambria"/>
          <w:color w:val="auto"/>
          <w:sz w:val="28"/>
          <w:szCs w:val="28"/>
        </w:rPr>
        <w:t>Mobility študentov a zamestnancov</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120</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11.4</w:t>
      </w:r>
      <w:r w:rsidRPr="00F0732E">
        <w:rPr>
          <w:rFonts w:ascii="Cambria" w:hAnsi="Cambria"/>
          <w:color w:val="auto"/>
          <w:sz w:val="28"/>
          <w:szCs w:val="28"/>
          <w:lang w:eastAsia="sk-SK"/>
        </w:rPr>
        <w:tab/>
      </w:r>
      <w:r w:rsidRPr="00F0732E">
        <w:rPr>
          <w:rFonts w:ascii="Cambria" w:hAnsi="Cambria"/>
          <w:color w:val="auto"/>
          <w:sz w:val="28"/>
          <w:szCs w:val="28"/>
        </w:rPr>
        <w:t>Pôsobenie STU v medzinárodných organizáciách a sieťach</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_Toc413009366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121</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11.5</w:t>
      </w:r>
      <w:r w:rsidRPr="00F0732E">
        <w:rPr>
          <w:rFonts w:ascii="Cambria" w:hAnsi="Cambria"/>
          <w:color w:val="auto"/>
          <w:sz w:val="28"/>
          <w:szCs w:val="28"/>
          <w:lang w:eastAsia="sk-SK"/>
        </w:rPr>
        <w:tab/>
      </w:r>
      <w:r w:rsidRPr="00F0732E">
        <w:rPr>
          <w:rFonts w:ascii="Cambria" w:hAnsi="Cambria"/>
          <w:color w:val="auto"/>
          <w:sz w:val="28"/>
          <w:szCs w:val="28"/>
        </w:rPr>
        <w:t xml:space="preserve">Vycestovania zamestnancov do zahraničia a prijatia zahraničných </w:t>
      </w:r>
      <w:r w:rsidR="005B5DB2">
        <w:rPr>
          <w:rFonts w:ascii="Cambria" w:hAnsi="Cambria"/>
          <w:color w:val="auto"/>
          <w:sz w:val="28"/>
          <w:szCs w:val="28"/>
        </w:rPr>
        <w:t xml:space="preserve"> </w:t>
      </w:r>
      <w:r w:rsidRPr="00F0732E">
        <w:rPr>
          <w:rFonts w:ascii="Cambria" w:hAnsi="Cambria"/>
          <w:color w:val="auto"/>
          <w:sz w:val="28"/>
          <w:szCs w:val="28"/>
        </w:rPr>
        <w:t>hostí</w:t>
      </w:r>
      <w:r w:rsidRPr="00F0732E">
        <w:rPr>
          <w:rFonts w:ascii="Cambria" w:hAnsi="Cambria"/>
          <w:sz w:val="28"/>
          <w:szCs w:val="28"/>
        </w:rPr>
        <w:tab/>
      </w:r>
      <w:r w:rsidR="005B5DB2">
        <w:rPr>
          <w:rFonts w:ascii="Cambria" w:hAnsi="Cambria"/>
          <w:sz w:val="28"/>
          <w:szCs w:val="28"/>
        </w:rPr>
        <w:t xml:space="preserve">................................................................................................................................. </w:t>
      </w:r>
      <w:r w:rsidR="0091177A" w:rsidRPr="00F0732E">
        <w:rPr>
          <w:rFonts w:ascii="Cambria" w:hAnsi="Cambria"/>
          <w:sz w:val="28"/>
          <w:szCs w:val="28"/>
        </w:rPr>
        <w:fldChar w:fldCharType="begin"/>
      </w:r>
      <w:r w:rsidRPr="00F0732E">
        <w:rPr>
          <w:rFonts w:ascii="Cambria" w:hAnsi="Cambria"/>
          <w:sz w:val="28"/>
          <w:szCs w:val="28"/>
        </w:rPr>
        <w:instrText xml:space="preserve"> PAGEREF _Toc413009367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123</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t>12</w:t>
      </w:r>
      <w:r w:rsidRPr="00F0732E">
        <w:rPr>
          <w:rFonts w:ascii="Cambria" w:hAnsi="Cambria"/>
          <w:color w:val="auto"/>
          <w:sz w:val="28"/>
          <w:szCs w:val="28"/>
          <w:lang w:eastAsia="sk-SK"/>
        </w:rPr>
        <w:tab/>
      </w:r>
      <w:r w:rsidRPr="00F0732E">
        <w:rPr>
          <w:rFonts w:ascii="Cambria" w:hAnsi="Cambria"/>
          <w:color w:val="auto"/>
          <w:sz w:val="28"/>
          <w:szCs w:val="28"/>
        </w:rPr>
        <w:t>Systém kvality na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_Toc413009368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124</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12.1</w:t>
      </w:r>
      <w:r w:rsidRPr="00F0732E">
        <w:rPr>
          <w:rFonts w:ascii="Cambria" w:hAnsi="Cambria"/>
          <w:color w:val="auto"/>
          <w:sz w:val="28"/>
          <w:szCs w:val="28"/>
          <w:lang w:eastAsia="sk-SK"/>
        </w:rPr>
        <w:tab/>
      </w:r>
      <w:r w:rsidRPr="00F0732E">
        <w:rPr>
          <w:rFonts w:ascii="Cambria" w:hAnsi="Cambria"/>
          <w:color w:val="auto"/>
          <w:sz w:val="28"/>
          <w:szCs w:val="28"/>
        </w:rPr>
        <w:t>Manažment vysokej školy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_Toc413009369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124</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12.2</w:t>
      </w:r>
      <w:r w:rsidRPr="00F0732E">
        <w:rPr>
          <w:rFonts w:ascii="Cambria" w:hAnsi="Cambria"/>
          <w:color w:val="auto"/>
          <w:sz w:val="28"/>
          <w:szCs w:val="28"/>
          <w:lang w:eastAsia="sk-SK"/>
        </w:rPr>
        <w:tab/>
      </w:r>
      <w:r w:rsidRPr="00F0732E">
        <w:rPr>
          <w:rFonts w:ascii="Cambria" w:hAnsi="Cambria"/>
          <w:color w:val="auto"/>
          <w:sz w:val="28"/>
          <w:szCs w:val="28"/>
        </w:rPr>
        <w:t>Hodnotenie vzdelávania študentmi</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_Toc413009370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127</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12.3</w:t>
      </w:r>
      <w:r w:rsidRPr="00F0732E">
        <w:rPr>
          <w:rFonts w:ascii="Cambria" w:hAnsi="Cambria"/>
          <w:color w:val="auto"/>
          <w:sz w:val="28"/>
          <w:szCs w:val="28"/>
          <w:lang w:eastAsia="sk-SK"/>
        </w:rPr>
        <w:tab/>
      </w:r>
      <w:r w:rsidRPr="00F0732E">
        <w:rPr>
          <w:rFonts w:ascii="Cambria" w:hAnsi="Cambria"/>
          <w:color w:val="auto"/>
          <w:sz w:val="28"/>
          <w:szCs w:val="28"/>
        </w:rPr>
        <w:t>Kvantitatívne vyhodnotenie zabezpečovania kvality vzdelávania</w:t>
      </w:r>
      <w:r w:rsidRPr="00F0732E">
        <w:rPr>
          <w:rFonts w:ascii="Cambria" w:hAnsi="Cambria"/>
          <w:sz w:val="28"/>
          <w:szCs w:val="28"/>
        </w:rPr>
        <w:tab/>
      </w:r>
      <w:r w:rsidR="005B5DB2">
        <w:rPr>
          <w:rFonts w:ascii="Cambria" w:hAnsi="Cambria"/>
          <w:sz w:val="28"/>
          <w:szCs w:val="28"/>
        </w:rPr>
        <w:t xml:space="preserve">................................................................................................................................  </w:t>
      </w:r>
      <w:r w:rsidR="0091177A" w:rsidRPr="00F0732E">
        <w:rPr>
          <w:rFonts w:ascii="Cambria" w:hAnsi="Cambria"/>
          <w:sz w:val="28"/>
          <w:szCs w:val="28"/>
        </w:rPr>
        <w:fldChar w:fldCharType="begin"/>
      </w:r>
      <w:r w:rsidRPr="00F0732E">
        <w:rPr>
          <w:rFonts w:ascii="Cambria" w:hAnsi="Cambria"/>
          <w:sz w:val="28"/>
          <w:szCs w:val="28"/>
        </w:rPr>
        <w:instrText xml:space="preserve"> PAGEREF _Toc413009371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128</w:t>
      </w:r>
      <w:r w:rsidR="0091177A" w:rsidRPr="00F0732E">
        <w:rPr>
          <w:rFonts w:ascii="Cambria" w:hAnsi="Cambria"/>
          <w:sz w:val="28"/>
          <w:szCs w:val="28"/>
        </w:rPr>
        <w:fldChar w:fldCharType="end"/>
      </w:r>
    </w:p>
    <w:p w:rsidR="00B51749" w:rsidRPr="00F0732E" w:rsidRDefault="00B51749" w:rsidP="00B51749">
      <w:pPr>
        <w:pStyle w:val="Obsah2"/>
        <w:tabs>
          <w:tab w:val="left" w:pos="1100"/>
          <w:tab w:val="right" w:leader="dot" w:pos="9056"/>
        </w:tabs>
        <w:rPr>
          <w:rFonts w:ascii="Cambria" w:hAnsi="Cambria"/>
          <w:color w:val="auto"/>
          <w:sz w:val="28"/>
          <w:szCs w:val="28"/>
          <w:lang w:eastAsia="sk-SK"/>
        </w:rPr>
      </w:pPr>
      <w:r w:rsidRPr="00F0732E">
        <w:rPr>
          <w:rFonts w:ascii="Cambria" w:hAnsi="Cambria"/>
          <w:sz w:val="28"/>
          <w:szCs w:val="28"/>
        </w:rPr>
        <w:t>12.4</w:t>
      </w:r>
      <w:r w:rsidRPr="00F0732E">
        <w:rPr>
          <w:rFonts w:ascii="Cambria" w:hAnsi="Cambria"/>
          <w:color w:val="auto"/>
          <w:sz w:val="28"/>
          <w:szCs w:val="28"/>
          <w:lang w:eastAsia="sk-SK"/>
        </w:rPr>
        <w:tab/>
      </w:r>
      <w:r w:rsidRPr="00F0732E">
        <w:rPr>
          <w:rFonts w:ascii="Cambria" w:hAnsi="Cambria"/>
          <w:color w:val="auto"/>
          <w:sz w:val="28"/>
          <w:szCs w:val="28"/>
        </w:rPr>
        <w:t>Hodnotenie úrovne vzdelávacej činnosti na STU za akademický rok 2013/14 z pohľadu Vedeckej rady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_Toc413009372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131</w:t>
      </w:r>
      <w:r w:rsidR="0091177A" w:rsidRPr="00F0732E">
        <w:rPr>
          <w:rFonts w:ascii="Cambria" w:hAnsi="Cambria"/>
          <w:sz w:val="28"/>
          <w:szCs w:val="28"/>
        </w:rPr>
        <w:fldChar w:fldCharType="end"/>
      </w:r>
    </w:p>
    <w:p w:rsidR="00B51749" w:rsidRPr="00F0732E" w:rsidRDefault="00B51749" w:rsidP="00B51749">
      <w:pPr>
        <w:pStyle w:val="Obsah2"/>
        <w:tabs>
          <w:tab w:val="right" w:leader="dot" w:pos="9056"/>
        </w:tabs>
        <w:rPr>
          <w:rFonts w:ascii="Cambria" w:hAnsi="Cambria"/>
          <w:color w:val="auto"/>
          <w:sz w:val="28"/>
          <w:szCs w:val="28"/>
          <w:lang w:eastAsia="sk-SK"/>
        </w:rPr>
      </w:pPr>
      <w:r w:rsidRPr="00F0732E">
        <w:rPr>
          <w:rFonts w:ascii="Cambria" w:hAnsi="Cambria"/>
          <w:color w:val="auto"/>
          <w:sz w:val="28"/>
          <w:szCs w:val="28"/>
        </w:rPr>
        <w:t xml:space="preserve">14.5. </w:t>
      </w:r>
      <w:r w:rsidRPr="00F0732E">
        <w:rPr>
          <w:rFonts w:ascii="Cambria" w:hAnsi="Cambria"/>
          <w:sz w:val="28"/>
          <w:szCs w:val="28"/>
        </w:rPr>
        <w:t>Hodnotenie úrovne vedeckovýskumnej a umeleckej činnosti na STU za rok 2014 z pohľadu Vedeckej rady STU</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_Toc413009373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132</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t>13</w:t>
      </w:r>
      <w:r w:rsidRPr="00F0732E">
        <w:rPr>
          <w:rFonts w:ascii="Cambria" w:hAnsi="Cambria"/>
          <w:color w:val="auto"/>
          <w:sz w:val="28"/>
          <w:szCs w:val="28"/>
          <w:lang w:eastAsia="sk-SK"/>
        </w:rPr>
        <w:tab/>
      </w:r>
      <w:r w:rsidRPr="00F0732E">
        <w:rPr>
          <w:rFonts w:ascii="Cambria" w:hAnsi="Cambria"/>
          <w:color w:val="auto"/>
          <w:sz w:val="28"/>
          <w:szCs w:val="28"/>
        </w:rPr>
        <w:t>Kontaktné údaje</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_Toc413009374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133</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t>14</w:t>
      </w:r>
      <w:r w:rsidRPr="00F0732E">
        <w:rPr>
          <w:rFonts w:ascii="Cambria" w:hAnsi="Cambria"/>
          <w:color w:val="auto"/>
          <w:sz w:val="28"/>
          <w:szCs w:val="28"/>
          <w:lang w:eastAsia="sk-SK"/>
        </w:rPr>
        <w:tab/>
      </w:r>
      <w:r w:rsidRPr="00F0732E">
        <w:rPr>
          <w:rFonts w:ascii="Cambria" w:hAnsi="Cambria"/>
          <w:color w:val="auto"/>
          <w:sz w:val="28"/>
          <w:szCs w:val="28"/>
        </w:rPr>
        <w:t>Sumár</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_Toc413009375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134</w:t>
      </w:r>
      <w:r w:rsidR="0091177A" w:rsidRPr="00F0732E">
        <w:rPr>
          <w:rFonts w:ascii="Cambria" w:hAnsi="Cambria"/>
          <w:sz w:val="28"/>
          <w:szCs w:val="28"/>
        </w:rPr>
        <w:fldChar w:fldCharType="end"/>
      </w:r>
    </w:p>
    <w:p w:rsidR="00B51749" w:rsidRPr="00F0732E" w:rsidRDefault="00B51749" w:rsidP="00B51749">
      <w:pPr>
        <w:pStyle w:val="Obsah1"/>
        <w:tabs>
          <w:tab w:val="left" w:pos="660"/>
          <w:tab w:val="right" w:leader="dot" w:pos="9056"/>
        </w:tabs>
        <w:rPr>
          <w:rFonts w:ascii="Cambria" w:hAnsi="Cambria"/>
          <w:color w:val="auto"/>
          <w:sz w:val="28"/>
          <w:szCs w:val="28"/>
          <w:lang w:eastAsia="sk-SK"/>
        </w:rPr>
      </w:pPr>
      <w:r w:rsidRPr="00F0732E">
        <w:rPr>
          <w:rFonts w:ascii="Cambria" w:hAnsi="Cambria"/>
          <w:color w:val="auto"/>
          <w:sz w:val="28"/>
          <w:szCs w:val="28"/>
        </w:rPr>
        <w:t>15</w:t>
      </w:r>
      <w:r w:rsidRPr="00F0732E">
        <w:rPr>
          <w:rFonts w:ascii="Cambria" w:hAnsi="Cambria"/>
          <w:color w:val="auto"/>
          <w:sz w:val="28"/>
          <w:szCs w:val="28"/>
          <w:lang w:eastAsia="sk-SK"/>
        </w:rPr>
        <w:tab/>
      </w:r>
      <w:r w:rsidRPr="00F0732E">
        <w:rPr>
          <w:rFonts w:ascii="Cambria" w:hAnsi="Cambria"/>
          <w:color w:val="auto"/>
          <w:sz w:val="28"/>
          <w:szCs w:val="28"/>
        </w:rPr>
        <w:t>Prílohy a tabuľky</w:t>
      </w:r>
      <w:r w:rsidRPr="00F0732E">
        <w:rPr>
          <w:rFonts w:ascii="Cambria" w:hAnsi="Cambria"/>
          <w:sz w:val="28"/>
          <w:szCs w:val="28"/>
        </w:rPr>
        <w:tab/>
      </w:r>
      <w:r w:rsidR="0091177A" w:rsidRPr="00F0732E">
        <w:rPr>
          <w:rFonts w:ascii="Cambria" w:hAnsi="Cambria"/>
          <w:sz w:val="28"/>
          <w:szCs w:val="28"/>
        </w:rPr>
        <w:fldChar w:fldCharType="begin"/>
      </w:r>
      <w:r w:rsidRPr="00F0732E">
        <w:rPr>
          <w:rFonts w:ascii="Cambria" w:hAnsi="Cambria"/>
          <w:sz w:val="28"/>
          <w:szCs w:val="28"/>
        </w:rPr>
        <w:instrText xml:space="preserve"> PAGEREF _Toc413009376 \h </w:instrText>
      </w:r>
      <w:r w:rsidR="0091177A" w:rsidRPr="00F0732E">
        <w:rPr>
          <w:rFonts w:ascii="Cambria" w:hAnsi="Cambria"/>
          <w:sz w:val="28"/>
          <w:szCs w:val="28"/>
        </w:rPr>
      </w:r>
      <w:r w:rsidR="0091177A" w:rsidRPr="00F0732E">
        <w:rPr>
          <w:rFonts w:ascii="Cambria" w:hAnsi="Cambria"/>
          <w:sz w:val="28"/>
          <w:szCs w:val="28"/>
        </w:rPr>
        <w:fldChar w:fldCharType="separate"/>
      </w:r>
      <w:r w:rsidR="005C1B86">
        <w:rPr>
          <w:rFonts w:ascii="Cambria" w:hAnsi="Cambria"/>
          <w:noProof/>
          <w:sz w:val="28"/>
          <w:szCs w:val="28"/>
        </w:rPr>
        <w:t>136</w:t>
      </w:r>
      <w:r w:rsidR="0091177A" w:rsidRPr="00F0732E">
        <w:rPr>
          <w:rFonts w:ascii="Cambria" w:hAnsi="Cambria"/>
          <w:sz w:val="28"/>
          <w:szCs w:val="28"/>
        </w:rPr>
        <w:fldChar w:fldCharType="end"/>
      </w:r>
    </w:p>
    <w:p w:rsidR="00B51749" w:rsidRPr="00F0732E" w:rsidRDefault="0091177A" w:rsidP="00B51749">
      <w:pPr>
        <w:rPr>
          <w:b/>
          <w:bCs/>
          <w:color w:val="FF0000"/>
          <w:sz w:val="28"/>
          <w:szCs w:val="28"/>
        </w:rPr>
      </w:pPr>
      <w:r w:rsidRPr="00F0732E">
        <w:rPr>
          <w:b/>
          <w:bCs/>
          <w:color w:val="FF0000"/>
          <w:sz w:val="28"/>
          <w:szCs w:val="28"/>
        </w:rPr>
        <w:fldChar w:fldCharType="end"/>
      </w:r>
    </w:p>
    <w:p w:rsidR="00B51749" w:rsidRPr="00F0732E" w:rsidRDefault="00B51749" w:rsidP="00B51749">
      <w:pPr>
        <w:rPr>
          <w:b/>
          <w:color w:val="FF0000"/>
          <w:sz w:val="28"/>
          <w:szCs w:val="28"/>
        </w:rPr>
      </w:pPr>
      <w:r w:rsidRPr="00F0732E">
        <w:rPr>
          <w:b/>
          <w:color w:val="FF0000"/>
          <w:sz w:val="28"/>
          <w:szCs w:val="28"/>
        </w:rPr>
        <w:br w:type="page"/>
      </w:r>
    </w:p>
    <w:p w:rsidR="00B51749" w:rsidRPr="00F0732E" w:rsidRDefault="00B51749" w:rsidP="00B51749">
      <w:pPr>
        <w:pStyle w:val="Nadpis1"/>
        <w:rPr>
          <w:rFonts w:ascii="Cambria" w:hAnsi="Cambria"/>
          <w:color w:val="auto"/>
          <w:sz w:val="28"/>
          <w:szCs w:val="28"/>
        </w:rPr>
      </w:pPr>
      <w:bookmarkStart w:id="1" w:name="_Toc413009304"/>
      <w:r w:rsidRPr="00F0732E">
        <w:rPr>
          <w:rFonts w:ascii="Cambria" w:hAnsi="Cambria"/>
          <w:color w:val="auto"/>
          <w:sz w:val="28"/>
          <w:szCs w:val="28"/>
        </w:rPr>
        <w:lastRenderedPageBreak/>
        <w:t>Základné informácie o vysokej škole</w:t>
      </w:r>
      <w:bookmarkEnd w:id="1"/>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Slovenská technická univerzita v Bratislave (STU) je modernou, výskumno-vzdelávacou inštitúciou. </w:t>
      </w:r>
      <w:r w:rsidRPr="00F0732E">
        <w:rPr>
          <w:b/>
          <w:sz w:val="28"/>
          <w:szCs w:val="28"/>
        </w:rPr>
        <w:t xml:space="preserve">Vzdelávanie vychádza z vlastného vedeckého výskumu a je orientované na potreby praxe. </w:t>
      </w:r>
      <w:r w:rsidR="00D609FF">
        <w:rPr>
          <w:b/>
          <w:sz w:val="28"/>
          <w:szCs w:val="28"/>
        </w:rPr>
        <w:t>Jej a</w:t>
      </w:r>
      <w:r w:rsidRPr="00F0732E">
        <w:rPr>
          <w:b/>
          <w:sz w:val="28"/>
          <w:szCs w:val="28"/>
        </w:rPr>
        <w:t xml:space="preserve">bsolventi patria k najžiadanejším na trhu práce a k najlepšie zarábajúcim. </w:t>
      </w:r>
    </w:p>
    <w:p w:rsidR="00B51749" w:rsidRPr="00F0732E" w:rsidRDefault="00B51749" w:rsidP="00B51749">
      <w:pPr>
        <w:rPr>
          <w:b/>
          <w:color w:val="FF0000"/>
          <w:sz w:val="28"/>
          <w:szCs w:val="28"/>
        </w:rPr>
      </w:pPr>
    </w:p>
    <w:p w:rsidR="00B51749" w:rsidRPr="00F0732E" w:rsidRDefault="00B51749" w:rsidP="00B51749">
      <w:pPr>
        <w:rPr>
          <w:sz w:val="28"/>
          <w:szCs w:val="28"/>
        </w:rPr>
      </w:pPr>
      <w:r w:rsidRPr="00F0732E">
        <w:rPr>
          <w:sz w:val="28"/>
          <w:szCs w:val="28"/>
        </w:rPr>
        <w:t xml:space="preserve">Podľa rebríčka University Ranking By Academic Performance 2014/15 je STU </w:t>
      </w:r>
      <w:r w:rsidRPr="00F0732E">
        <w:rPr>
          <w:b/>
          <w:sz w:val="28"/>
          <w:szCs w:val="28"/>
        </w:rPr>
        <w:t xml:space="preserve">najlepšou technickou školou v SR a </w:t>
      </w:r>
      <w:r w:rsidR="004344A7">
        <w:rPr>
          <w:b/>
          <w:sz w:val="28"/>
          <w:szCs w:val="28"/>
        </w:rPr>
        <w:t>treťou</w:t>
      </w:r>
      <w:r w:rsidRPr="00F0732E">
        <w:rPr>
          <w:b/>
          <w:sz w:val="28"/>
          <w:szCs w:val="28"/>
        </w:rPr>
        <w:t xml:space="preserve"> najlepšou v ČR a SR</w:t>
      </w:r>
      <w:r w:rsidRPr="00F0732E">
        <w:rPr>
          <w:sz w:val="28"/>
          <w:szCs w:val="28"/>
        </w:rPr>
        <w:t xml:space="preserve"> (STU – 1004. miesto</w:t>
      </w:r>
      <w:r w:rsidRPr="004344A7">
        <w:rPr>
          <w:sz w:val="28"/>
          <w:szCs w:val="28"/>
        </w:rPr>
        <w:t>, CVUT Praha</w:t>
      </w:r>
      <w:r w:rsidR="00D609FF" w:rsidRPr="004344A7">
        <w:rPr>
          <w:sz w:val="28"/>
          <w:szCs w:val="28"/>
        </w:rPr>
        <w:t xml:space="preserve"> - </w:t>
      </w:r>
      <w:r w:rsidRPr="004344A7">
        <w:rPr>
          <w:sz w:val="28"/>
          <w:szCs w:val="28"/>
        </w:rPr>
        <w:t xml:space="preserve"> 542</w:t>
      </w:r>
      <w:r w:rsidR="00D609FF" w:rsidRPr="004344A7">
        <w:rPr>
          <w:sz w:val="28"/>
          <w:szCs w:val="28"/>
        </w:rPr>
        <w:t>.</w:t>
      </w:r>
      <w:r w:rsidRPr="004344A7">
        <w:rPr>
          <w:sz w:val="28"/>
          <w:szCs w:val="28"/>
        </w:rPr>
        <w:t>,  VŠCHT Praha</w:t>
      </w:r>
      <w:r w:rsidR="00D609FF">
        <w:rPr>
          <w:sz w:val="28"/>
          <w:szCs w:val="28"/>
        </w:rPr>
        <w:t xml:space="preserve"> - </w:t>
      </w:r>
      <w:r w:rsidRPr="00F0732E">
        <w:rPr>
          <w:sz w:val="28"/>
          <w:szCs w:val="28"/>
        </w:rPr>
        <w:t xml:space="preserve"> 881</w:t>
      </w:r>
      <w:r w:rsidR="00D609FF">
        <w:rPr>
          <w:sz w:val="28"/>
          <w:szCs w:val="28"/>
        </w:rPr>
        <w:t>.</w:t>
      </w:r>
      <w:r w:rsidRPr="00F0732E">
        <w:rPr>
          <w:sz w:val="28"/>
          <w:szCs w:val="28"/>
        </w:rPr>
        <w:t>, VUT Brno</w:t>
      </w:r>
      <w:r w:rsidR="00D609FF">
        <w:rPr>
          <w:sz w:val="28"/>
          <w:szCs w:val="28"/>
        </w:rPr>
        <w:t xml:space="preserve"> - </w:t>
      </w:r>
      <w:r w:rsidRPr="00F0732E">
        <w:rPr>
          <w:sz w:val="28"/>
          <w:szCs w:val="28"/>
        </w:rPr>
        <w:t xml:space="preserve"> 1039</w:t>
      </w:r>
      <w:r w:rsidR="00D609FF">
        <w:rPr>
          <w:sz w:val="28"/>
          <w:szCs w:val="28"/>
        </w:rPr>
        <w:t>.</w:t>
      </w:r>
      <w:r w:rsidRPr="00F0732E">
        <w:rPr>
          <w:sz w:val="28"/>
          <w:szCs w:val="28"/>
        </w:rPr>
        <w:t>).</w:t>
      </w:r>
    </w:p>
    <w:p w:rsidR="00B51749" w:rsidRPr="00F0732E" w:rsidRDefault="00B51749" w:rsidP="00B51749">
      <w:pPr>
        <w:rPr>
          <w:b/>
          <w:sz w:val="28"/>
          <w:szCs w:val="28"/>
        </w:rPr>
      </w:pPr>
      <w:r w:rsidRPr="00F0732E">
        <w:rPr>
          <w:sz w:val="28"/>
          <w:szCs w:val="28"/>
        </w:rPr>
        <w:t xml:space="preserve">Podľa rebríčka ARRA je Slovenská technická univerzita </w:t>
      </w:r>
      <w:r w:rsidRPr="00F0732E">
        <w:rPr>
          <w:b/>
          <w:sz w:val="28"/>
          <w:szCs w:val="28"/>
        </w:rPr>
        <w:t xml:space="preserve">dlhodobo najlepšou univerzitou na Slovensku pre chemické technológie, technické a počítačové vedy. </w:t>
      </w:r>
    </w:p>
    <w:p w:rsidR="00B51749" w:rsidRPr="00F0732E" w:rsidRDefault="00B51749" w:rsidP="00B51749">
      <w:pPr>
        <w:rPr>
          <w:sz w:val="28"/>
          <w:szCs w:val="28"/>
        </w:rPr>
      </w:pPr>
    </w:p>
    <w:p w:rsidR="00B51749" w:rsidRPr="00F0732E" w:rsidRDefault="00B51749" w:rsidP="00B51749">
      <w:pPr>
        <w:shd w:val="clear" w:color="auto" w:fill="FFFFFF"/>
        <w:rPr>
          <w:rFonts w:cs="Calibri"/>
          <w:sz w:val="28"/>
          <w:szCs w:val="28"/>
        </w:rPr>
      </w:pPr>
      <w:r w:rsidRPr="00F0732E">
        <w:rPr>
          <w:sz w:val="28"/>
          <w:szCs w:val="28"/>
        </w:rPr>
        <w:t>STU poskytuje vysokoškolské vzdelávanie univerzitného typu najmä v technických disciplínach vo všetkých troch stupňoch vysokoškolského vzdelávania a</w:t>
      </w:r>
      <w:r w:rsidR="00D609FF">
        <w:rPr>
          <w:sz w:val="28"/>
          <w:szCs w:val="28"/>
        </w:rPr>
        <w:t>j</w:t>
      </w:r>
      <w:r w:rsidRPr="00F0732E">
        <w:rPr>
          <w:sz w:val="28"/>
          <w:szCs w:val="28"/>
        </w:rPr>
        <w:t> v celoživotnom vzdelávaní. Na STU</w:t>
      </w:r>
      <w:r w:rsidR="00D609FF">
        <w:rPr>
          <w:sz w:val="28"/>
          <w:szCs w:val="28"/>
        </w:rPr>
        <w:t xml:space="preserve"> študovalo</w:t>
      </w:r>
      <w:r w:rsidRPr="00F0732E">
        <w:rPr>
          <w:sz w:val="28"/>
          <w:szCs w:val="28"/>
        </w:rPr>
        <w:t xml:space="preserve"> v akademickom roku </w:t>
      </w:r>
      <w:r w:rsidRPr="00F0732E">
        <w:rPr>
          <w:rFonts w:cs="Calibri"/>
          <w:sz w:val="28"/>
          <w:szCs w:val="28"/>
        </w:rPr>
        <w:t xml:space="preserve">2013/2014 </w:t>
      </w:r>
      <w:r w:rsidRPr="00F0732E">
        <w:rPr>
          <w:rFonts w:cs="Calibri"/>
          <w:b/>
          <w:sz w:val="28"/>
          <w:szCs w:val="28"/>
        </w:rPr>
        <w:t>16 402 študentov</w:t>
      </w:r>
      <w:r w:rsidRPr="00F0732E">
        <w:rPr>
          <w:sz w:val="28"/>
          <w:szCs w:val="28"/>
        </w:rPr>
        <w:t>.</w:t>
      </w:r>
      <w:r w:rsidRPr="00F0732E">
        <w:rPr>
          <w:b/>
          <w:color w:val="FF0000"/>
          <w:sz w:val="28"/>
          <w:szCs w:val="28"/>
        </w:rPr>
        <w:t xml:space="preserve"> </w:t>
      </w:r>
      <w:r w:rsidRPr="00F0732E">
        <w:rPr>
          <w:b/>
          <w:sz w:val="28"/>
          <w:szCs w:val="28"/>
        </w:rPr>
        <w:t>Štúdium v tomto akad</w:t>
      </w:r>
      <w:r w:rsidR="00D609FF">
        <w:rPr>
          <w:b/>
          <w:sz w:val="28"/>
          <w:szCs w:val="28"/>
        </w:rPr>
        <w:t>emickom</w:t>
      </w:r>
      <w:r w:rsidRPr="00F0732E">
        <w:rPr>
          <w:b/>
          <w:sz w:val="28"/>
          <w:szCs w:val="28"/>
        </w:rPr>
        <w:t xml:space="preserve"> roku</w:t>
      </w:r>
      <w:r w:rsidRPr="00F0732E">
        <w:rPr>
          <w:b/>
          <w:color w:val="FF0000"/>
          <w:sz w:val="28"/>
          <w:szCs w:val="28"/>
        </w:rPr>
        <w:t xml:space="preserve"> </w:t>
      </w:r>
      <w:r w:rsidRPr="00F0732E">
        <w:rPr>
          <w:rFonts w:cs="Calibri"/>
          <w:sz w:val="28"/>
          <w:szCs w:val="28"/>
          <w:shd w:val="clear" w:color="auto" w:fill="FFFFFF"/>
        </w:rPr>
        <w:t xml:space="preserve">úspešne </w:t>
      </w:r>
      <w:r w:rsidRPr="00F0732E">
        <w:rPr>
          <w:rFonts w:cs="Calibri"/>
          <w:b/>
          <w:sz w:val="28"/>
          <w:szCs w:val="28"/>
          <w:shd w:val="clear" w:color="auto" w:fill="FFFFFF"/>
        </w:rPr>
        <w:t>ukončilo 4 241 absolventov</w:t>
      </w:r>
      <w:r w:rsidRPr="00F0732E">
        <w:rPr>
          <w:rFonts w:cs="Calibri"/>
          <w:sz w:val="28"/>
          <w:szCs w:val="28"/>
          <w:shd w:val="clear" w:color="auto" w:fill="FFFFFF"/>
        </w:rPr>
        <w:t>, z toho na prvom stupni 1 939 absolventov, na druhom stupni 2037 absolventov a na treťom stupni 265 absolventov</w:t>
      </w:r>
      <w:r w:rsidRPr="00F0732E">
        <w:rPr>
          <w:rFonts w:cs="Calibri"/>
          <w:sz w:val="28"/>
          <w:szCs w:val="28"/>
        </w:rPr>
        <w:t>.</w:t>
      </w:r>
    </w:p>
    <w:p w:rsidR="00B51749" w:rsidRPr="00F0732E" w:rsidRDefault="00B51749" w:rsidP="00B51749">
      <w:pPr>
        <w:rPr>
          <w:color w:val="FF0000"/>
          <w:sz w:val="28"/>
          <w:szCs w:val="28"/>
        </w:rPr>
      </w:pPr>
    </w:p>
    <w:p w:rsidR="00B51749" w:rsidRPr="00F0732E" w:rsidRDefault="00B51749" w:rsidP="00B51749">
      <w:pPr>
        <w:pStyle w:val="Odsekzoznamu"/>
        <w:spacing w:line="240" w:lineRule="auto"/>
        <w:ind w:left="0"/>
        <w:rPr>
          <w:rFonts w:ascii="Cambria" w:hAnsi="Cambria"/>
          <w:sz w:val="28"/>
          <w:szCs w:val="28"/>
        </w:rPr>
      </w:pPr>
      <w:r w:rsidRPr="00D609FF">
        <w:rPr>
          <w:rFonts w:asciiTheme="majorHAnsi" w:hAnsiTheme="majorHAnsi"/>
          <w:sz w:val="28"/>
          <w:szCs w:val="28"/>
        </w:rPr>
        <w:t>Pre vzdelávací proces na STU je charakteristická spolupráca pracovísk univerzity s priemyselnou a spoločenskou praxou. STU a jej jednotlivé pracoviská tiež intenzívne spolupracujú s významnými vedeckými inštitúciami a univerzitami v zahraničí.</w:t>
      </w:r>
      <w:r w:rsidRPr="00F0732E">
        <w:rPr>
          <w:color w:val="FF0000"/>
          <w:sz w:val="28"/>
          <w:szCs w:val="28"/>
        </w:rPr>
        <w:t xml:space="preserve"> </w:t>
      </w:r>
      <w:r w:rsidRPr="00F0732E">
        <w:rPr>
          <w:rFonts w:ascii="Cambria" w:hAnsi="Cambria"/>
          <w:b/>
          <w:sz w:val="28"/>
          <w:szCs w:val="28"/>
        </w:rPr>
        <w:t>V roku 2014 sa na STU riešilo 274 projektov zmluvného výskumu pre priemyselnú prax a takmer 500 výskumných projektov financovaných z grantov, z čoho bolo 20 projektov 7. rámcového programu Európskej únie, vrátane iniciatívy ENIAC.</w:t>
      </w:r>
    </w:p>
    <w:p w:rsidR="00B51749" w:rsidRPr="00F0732E" w:rsidRDefault="00B51749" w:rsidP="00B51749">
      <w:pPr>
        <w:rPr>
          <w:color w:val="FF0000"/>
          <w:sz w:val="28"/>
          <w:szCs w:val="28"/>
        </w:rPr>
      </w:pPr>
    </w:p>
    <w:p w:rsidR="00B51749" w:rsidRPr="00F0732E" w:rsidRDefault="00B51749" w:rsidP="00B51749">
      <w:pPr>
        <w:rPr>
          <w:sz w:val="28"/>
          <w:szCs w:val="28"/>
        </w:rPr>
      </w:pPr>
      <w:r w:rsidRPr="00F0732E">
        <w:rPr>
          <w:b/>
          <w:sz w:val="28"/>
          <w:szCs w:val="28"/>
        </w:rPr>
        <w:t>Názov</w:t>
      </w:r>
      <w:r w:rsidRPr="00F0732E">
        <w:rPr>
          <w:sz w:val="28"/>
          <w:szCs w:val="28"/>
        </w:rPr>
        <w:t>: Slovenská technická univerzita v Bratislave</w:t>
      </w: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Začlenenie:</w:t>
      </w:r>
      <w:r w:rsidRPr="00F0732E">
        <w:rPr>
          <w:sz w:val="28"/>
          <w:szCs w:val="28"/>
        </w:rPr>
        <w:t xml:space="preserve"> univerzitná vysoká škola</w:t>
      </w: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 xml:space="preserve">História: </w:t>
      </w:r>
      <w:r w:rsidRPr="00F0732E">
        <w:rPr>
          <w:sz w:val="28"/>
          <w:szCs w:val="28"/>
        </w:rPr>
        <w:t xml:space="preserve">Slovenská technická univerzita v Bratislave je druhou najväčšou a druhou najstaršou univerzitou na Slovensku. Ako prvá polytechnika na Slovensku bola zriadená zákonom č. 170/1937 Sb. z. a n. zo dňa 25. júna 1937 pod pôvodným názvom „Vysoká škola technická Dr. M. R. Štefánika“. Vládnym nariadením č. 6 zo dňa 14. 2. 1939 Úr. n. bola premenovaná na </w:t>
      </w:r>
      <w:r w:rsidRPr="00F0732E">
        <w:rPr>
          <w:sz w:val="28"/>
          <w:szCs w:val="28"/>
        </w:rPr>
        <w:lastRenderedPageBreak/>
        <w:t>„Slovenskú vysokú školu technickú“. Zákonom SNR č. 93/1991 Zb. s účinnosťou od 1. 4. 1991 bol zmenený názov školy na súčasný názov „Slovenská technická univerzita v Bratislave“.</w:t>
      </w:r>
    </w:p>
    <w:p w:rsidR="00B51749" w:rsidRPr="00F0732E" w:rsidRDefault="00B51749" w:rsidP="00B51749">
      <w:pPr>
        <w:rPr>
          <w:sz w:val="28"/>
          <w:szCs w:val="28"/>
        </w:rPr>
      </w:pPr>
      <w:r w:rsidRPr="00F0732E">
        <w:rPr>
          <w:sz w:val="28"/>
          <w:szCs w:val="28"/>
        </w:rPr>
        <w:t xml:space="preserve">STU nadväzuje na bohaté tradície technického vzdelávania, ktorého základy boli položené zriadením Banskej akadémie v Banskej Štiavnici v roku 1762. </w:t>
      </w: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Typ</w:t>
      </w:r>
      <w:r w:rsidRPr="00F0732E">
        <w:rPr>
          <w:sz w:val="28"/>
          <w:szCs w:val="28"/>
        </w:rPr>
        <w:t>: verejná vysoká škola</w:t>
      </w: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 xml:space="preserve">Poslanie vysokej školy: </w:t>
      </w:r>
      <w:r w:rsidRPr="00F0732E">
        <w:rPr>
          <w:sz w:val="28"/>
          <w:szCs w:val="28"/>
        </w:rPr>
        <w:t xml:space="preserve">Slovenská technická univerzita v Bratislave vychováva generáciu, ktorá je základom budúcej ekonomiky Slovenska. Praktická výučba, zapájanie študentov do výskumu a orientácia na inovatívne oblasti je predpokladom prípravy generácie pre ekonomiku, ktorá bude udržateľná, konkurencie schopná, inovatívna a bude tvoriť zamestnanosť. </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Vedenie univerzity:</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prof. Ing. Robert REDHAMMER, PhD.</w:t>
      </w:r>
      <w:r w:rsidRPr="00F0732E">
        <w:rPr>
          <w:b/>
          <w:sz w:val="28"/>
          <w:szCs w:val="28"/>
        </w:rPr>
        <w:t xml:space="preserve"> </w:t>
      </w:r>
      <w:r w:rsidRPr="00F0732E">
        <w:rPr>
          <w:sz w:val="28"/>
          <w:szCs w:val="28"/>
        </w:rPr>
        <w:t>(od. 23. 3. 2011)</w:t>
      </w:r>
    </w:p>
    <w:p w:rsidR="00B51749" w:rsidRPr="00F0732E" w:rsidRDefault="00B51749" w:rsidP="00B51749">
      <w:pPr>
        <w:rPr>
          <w:i/>
          <w:sz w:val="28"/>
          <w:szCs w:val="28"/>
        </w:rPr>
      </w:pPr>
      <w:r w:rsidRPr="00F0732E">
        <w:rPr>
          <w:i/>
          <w:sz w:val="28"/>
          <w:szCs w:val="28"/>
        </w:rPr>
        <w:t>rektor</w:t>
      </w:r>
    </w:p>
    <w:p w:rsidR="00B51749" w:rsidRPr="00F0732E" w:rsidRDefault="00B51749" w:rsidP="00B51749">
      <w:pPr>
        <w:rPr>
          <w:i/>
          <w:sz w:val="28"/>
          <w:szCs w:val="28"/>
        </w:rPr>
      </w:pPr>
    </w:p>
    <w:p w:rsidR="00B51749" w:rsidRPr="00F0732E" w:rsidRDefault="00B51749" w:rsidP="00B51749">
      <w:pPr>
        <w:rPr>
          <w:sz w:val="28"/>
          <w:szCs w:val="28"/>
        </w:rPr>
      </w:pPr>
      <w:r w:rsidRPr="00F0732E">
        <w:rPr>
          <w:sz w:val="28"/>
          <w:szCs w:val="28"/>
        </w:rPr>
        <w:t>prof. Ing. Marián PECIAR, PhD. (od 29. 3. 2011)</w:t>
      </w:r>
    </w:p>
    <w:p w:rsidR="00B51749" w:rsidRPr="00F0732E" w:rsidRDefault="00B51749" w:rsidP="00B51749">
      <w:pPr>
        <w:rPr>
          <w:i/>
          <w:sz w:val="28"/>
          <w:szCs w:val="28"/>
        </w:rPr>
      </w:pPr>
      <w:r w:rsidRPr="00F0732E">
        <w:rPr>
          <w:i/>
          <w:sz w:val="28"/>
          <w:szCs w:val="28"/>
        </w:rPr>
        <w:t>prorektor pre spoluprácu s praxou</w:t>
      </w:r>
    </w:p>
    <w:p w:rsidR="00B51749" w:rsidRPr="00F0732E" w:rsidRDefault="00B51749" w:rsidP="00B51749">
      <w:pPr>
        <w:rPr>
          <w:i/>
          <w:sz w:val="28"/>
          <w:szCs w:val="28"/>
        </w:rPr>
      </w:pPr>
      <w:r w:rsidRPr="00F0732E">
        <w:rPr>
          <w:i/>
          <w:sz w:val="28"/>
          <w:szCs w:val="28"/>
        </w:rPr>
        <w:t>štatutárny zástupca</w:t>
      </w:r>
    </w:p>
    <w:p w:rsidR="00B51749" w:rsidRPr="00F0732E" w:rsidRDefault="00B51749" w:rsidP="00B51749">
      <w:pPr>
        <w:rPr>
          <w:i/>
          <w:sz w:val="28"/>
          <w:szCs w:val="28"/>
        </w:rPr>
      </w:pPr>
    </w:p>
    <w:p w:rsidR="00B51749" w:rsidRPr="00F0732E" w:rsidRDefault="00B51749" w:rsidP="00B51749">
      <w:pPr>
        <w:rPr>
          <w:sz w:val="28"/>
          <w:szCs w:val="28"/>
        </w:rPr>
      </w:pPr>
      <w:r w:rsidRPr="00F0732E">
        <w:rPr>
          <w:sz w:val="28"/>
          <w:szCs w:val="28"/>
        </w:rPr>
        <w:t>prof. Ing. Stanislav BISKUPIČ, DrSc. (od 8. 4. 2011)</w:t>
      </w:r>
    </w:p>
    <w:p w:rsidR="00B51749" w:rsidRPr="00F0732E" w:rsidRDefault="00B51749" w:rsidP="00B51749">
      <w:pPr>
        <w:rPr>
          <w:i/>
          <w:sz w:val="28"/>
          <w:szCs w:val="28"/>
        </w:rPr>
      </w:pPr>
      <w:r w:rsidRPr="00F0732E">
        <w:rPr>
          <w:i/>
          <w:sz w:val="28"/>
          <w:szCs w:val="28"/>
        </w:rPr>
        <w:t>prorektor pre vedu a výskum</w:t>
      </w:r>
    </w:p>
    <w:p w:rsidR="00B51749" w:rsidRPr="00F0732E" w:rsidRDefault="00B51749" w:rsidP="00B51749">
      <w:pPr>
        <w:rPr>
          <w:i/>
          <w:sz w:val="28"/>
          <w:szCs w:val="28"/>
        </w:rPr>
      </w:pPr>
    </w:p>
    <w:p w:rsidR="00B51749" w:rsidRPr="00F0732E" w:rsidRDefault="00B51749" w:rsidP="00B51749">
      <w:pPr>
        <w:rPr>
          <w:sz w:val="28"/>
          <w:szCs w:val="28"/>
        </w:rPr>
      </w:pPr>
      <w:r w:rsidRPr="00F0732E">
        <w:rPr>
          <w:sz w:val="28"/>
          <w:szCs w:val="28"/>
        </w:rPr>
        <w:t>doc. Ing. František HORŇÁK, PhD. (od 29. 3. 2011)</w:t>
      </w:r>
    </w:p>
    <w:p w:rsidR="00B51749" w:rsidRPr="00F0732E" w:rsidRDefault="00B51749" w:rsidP="00B51749">
      <w:pPr>
        <w:rPr>
          <w:i/>
          <w:sz w:val="28"/>
          <w:szCs w:val="28"/>
        </w:rPr>
      </w:pPr>
      <w:r w:rsidRPr="00F0732E">
        <w:rPr>
          <w:i/>
          <w:sz w:val="28"/>
          <w:szCs w:val="28"/>
        </w:rPr>
        <w:t>prorektor pre vzdelávanie</w:t>
      </w:r>
    </w:p>
    <w:p w:rsidR="00B51749" w:rsidRPr="00F0732E" w:rsidRDefault="00B51749" w:rsidP="00B51749">
      <w:pPr>
        <w:rPr>
          <w:i/>
          <w:sz w:val="28"/>
          <w:szCs w:val="28"/>
        </w:rPr>
      </w:pPr>
    </w:p>
    <w:p w:rsidR="00B51749" w:rsidRPr="00F0732E" w:rsidRDefault="00B51749" w:rsidP="00B51749">
      <w:pPr>
        <w:rPr>
          <w:sz w:val="28"/>
          <w:szCs w:val="28"/>
        </w:rPr>
      </w:pPr>
      <w:r w:rsidRPr="00F0732E">
        <w:rPr>
          <w:sz w:val="28"/>
          <w:szCs w:val="28"/>
        </w:rPr>
        <w:t>prof. Ing. Milan SOKOL, PhD. (od 29. 3. 2011)</w:t>
      </w:r>
    </w:p>
    <w:p w:rsidR="00B51749" w:rsidRPr="00F0732E" w:rsidRDefault="00B51749" w:rsidP="00B51749">
      <w:pPr>
        <w:rPr>
          <w:i/>
          <w:sz w:val="28"/>
          <w:szCs w:val="28"/>
        </w:rPr>
      </w:pPr>
      <w:r w:rsidRPr="00F0732E">
        <w:rPr>
          <w:i/>
          <w:sz w:val="28"/>
          <w:szCs w:val="28"/>
        </w:rPr>
        <w:t>prorektor pre rozvoj</w:t>
      </w:r>
    </w:p>
    <w:p w:rsidR="00B51749" w:rsidRPr="00F0732E" w:rsidRDefault="00B51749" w:rsidP="00B51749">
      <w:pPr>
        <w:autoSpaceDE w:val="0"/>
        <w:autoSpaceDN w:val="0"/>
        <w:adjustRightInd w:val="0"/>
        <w:rPr>
          <w:i/>
          <w:sz w:val="28"/>
          <w:szCs w:val="28"/>
        </w:rPr>
      </w:pPr>
    </w:p>
    <w:p w:rsidR="00B51749" w:rsidRPr="00F0732E" w:rsidRDefault="00B51749" w:rsidP="00B51749">
      <w:pPr>
        <w:autoSpaceDE w:val="0"/>
        <w:autoSpaceDN w:val="0"/>
        <w:adjustRightInd w:val="0"/>
        <w:rPr>
          <w:i/>
          <w:iCs/>
          <w:sz w:val="28"/>
          <w:szCs w:val="28"/>
        </w:rPr>
      </w:pPr>
      <w:r w:rsidRPr="00F0732E">
        <w:rPr>
          <w:sz w:val="28"/>
          <w:szCs w:val="28"/>
        </w:rPr>
        <w:t>Ing. Dušan FAKTOR, PhD. (od 25. 7. 2012)</w:t>
      </w:r>
    </w:p>
    <w:p w:rsidR="00B51749" w:rsidRPr="00F0732E" w:rsidRDefault="00B51749" w:rsidP="00B51749">
      <w:pPr>
        <w:autoSpaceDE w:val="0"/>
        <w:autoSpaceDN w:val="0"/>
        <w:adjustRightInd w:val="0"/>
        <w:rPr>
          <w:i/>
          <w:iCs/>
          <w:sz w:val="28"/>
          <w:szCs w:val="28"/>
        </w:rPr>
      </w:pPr>
      <w:r w:rsidRPr="00F0732E">
        <w:rPr>
          <w:i/>
          <w:iCs/>
          <w:sz w:val="28"/>
          <w:szCs w:val="28"/>
        </w:rPr>
        <w:t>kvestor</w:t>
      </w:r>
    </w:p>
    <w:p w:rsidR="00B51749" w:rsidRPr="00F0732E" w:rsidRDefault="00B51749" w:rsidP="00B51749">
      <w:pPr>
        <w:autoSpaceDE w:val="0"/>
        <w:autoSpaceDN w:val="0"/>
        <w:adjustRightInd w:val="0"/>
        <w:rPr>
          <w:i/>
          <w:iCs/>
          <w:sz w:val="28"/>
          <w:szCs w:val="28"/>
        </w:rPr>
      </w:pPr>
    </w:p>
    <w:p w:rsidR="00B51749" w:rsidRPr="00F0732E" w:rsidRDefault="00B51749" w:rsidP="00B51749">
      <w:pPr>
        <w:autoSpaceDE w:val="0"/>
        <w:autoSpaceDN w:val="0"/>
        <w:adjustRightInd w:val="0"/>
        <w:rPr>
          <w:i/>
          <w:iCs/>
          <w:sz w:val="28"/>
          <w:szCs w:val="28"/>
        </w:rPr>
      </w:pPr>
    </w:p>
    <w:p w:rsidR="00B51749" w:rsidRPr="00F0732E" w:rsidRDefault="00B51749" w:rsidP="00B51749">
      <w:pPr>
        <w:rPr>
          <w:b/>
          <w:sz w:val="28"/>
          <w:szCs w:val="28"/>
        </w:rPr>
      </w:pPr>
      <w:r w:rsidRPr="00F0732E">
        <w:rPr>
          <w:b/>
          <w:sz w:val="28"/>
          <w:szCs w:val="28"/>
        </w:rPr>
        <w:t>Akademický senát STU:</w:t>
      </w:r>
    </w:p>
    <w:p w:rsidR="00B51749" w:rsidRPr="00F0732E" w:rsidRDefault="00B51749" w:rsidP="00B51749">
      <w:pPr>
        <w:spacing w:before="100" w:beforeAutospacing="1" w:after="100" w:afterAutospacing="1"/>
        <w:rPr>
          <w:sz w:val="28"/>
          <w:szCs w:val="28"/>
          <w:lang w:eastAsia="sk-SK"/>
        </w:rPr>
      </w:pPr>
      <w:r w:rsidRPr="00F0732E">
        <w:rPr>
          <w:b/>
          <w:bCs/>
          <w:sz w:val="28"/>
          <w:szCs w:val="28"/>
          <w:lang w:eastAsia="sk-SK"/>
        </w:rPr>
        <w:lastRenderedPageBreak/>
        <w:t xml:space="preserve">PREDSEDA </w:t>
      </w:r>
      <w:r w:rsidRPr="00F0732E">
        <w:rPr>
          <w:sz w:val="28"/>
          <w:szCs w:val="28"/>
          <w:lang w:eastAsia="sk-SK"/>
        </w:rPr>
        <w:br/>
        <w:t>doc. Ing. Karol JELEMENSKÝ, PhD. (SjF) (funkčné obdobie 2011 – 2015, nástup do funkcie 23. 5. 2011)</w:t>
      </w:r>
    </w:p>
    <w:p w:rsidR="00B51749" w:rsidRPr="00F0732E" w:rsidRDefault="00B51749" w:rsidP="00B51749">
      <w:pPr>
        <w:spacing w:before="100" w:beforeAutospacing="1" w:after="100" w:afterAutospacing="1"/>
        <w:rPr>
          <w:sz w:val="28"/>
          <w:szCs w:val="28"/>
          <w:lang w:eastAsia="sk-SK"/>
        </w:rPr>
      </w:pPr>
      <w:r w:rsidRPr="00F0732E">
        <w:rPr>
          <w:b/>
          <w:bCs/>
          <w:sz w:val="28"/>
          <w:szCs w:val="28"/>
          <w:lang w:eastAsia="sk-SK"/>
        </w:rPr>
        <w:t>PODPREDSEDA</w:t>
      </w:r>
      <w:r w:rsidRPr="00F0732E">
        <w:rPr>
          <w:sz w:val="28"/>
          <w:szCs w:val="28"/>
          <w:lang w:eastAsia="sk-SK"/>
        </w:rPr>
        <w:t xml:space="preserve"> </w:t>
      </w:r>
      <w:r w:rsidRPr="00F0732E">
        <w:rPr>
          <w:sz w:val="28"/>
          <w:szCs w:val="28"/>
          <w:lang w:eastAsia="sk-SK"/>
        </w:rPr>
        <w:br/>
        <w:t>prof. Ing. arch. Bohumil KOVÁČ, PhD. (FA) (funkčné obdobie 2011 – 2015, nástup do funkcie 23. 5. 2011)</w:t>
      </w:r>
    </w:p>
    <w:p w:rsidR="00B51749" w:rsidRPr="00F0732E" w:rsidRDefault="00B51749" w:rsidP="00B51749">
      <w:pPr>
        <w:spacing w:before="100" w:beforeAutospacing="1" w:after="100" w:afterAutospacing="1"/>
        <w:rPr>
          <w:sz w:val="28"/>
          <w:szCs w:val="28"/>
          <w:lang w:eastAsia="sk-SK"/>
        </w:rPr>
      </w:pPr>
      <w:r w:rsidRPr="00F0732E">
        <w:rPr>
          <w:b/>
          <w:bCs/>
          <w:sz w:val="28"/>
          <w:szCs w:val="28"/>
          <w:lang w:eastAsia="sk-SK"/>
        </w:rPr>
        <w:t>TAJOMNÍČKA</w:t>
      </w:r>
      <w:r w:rsidRPr="00F0732E">
        <w:rPr>
          <w:sz w:val="28"/>
          <w:szCs w:val="28"/>
          <w:lang w:eastAsia="sk-SK"/>
        </w:rPr>
        <w:br/>
        <w:t>Ing. Viera JANČUŠKOVÁ</w:t>
      </w:r>
    </w:p>
    <w:p w:rsidR="00B51749" w:rsidRPr="00F0732E" w:rsidRDefault="00B51749" w:rsidP="00B51749">
      <w:pPr>
        <w:rPr>
          <w:sz w:val="28"/>
          <w:szCs w:val="28"/>
          <w:lang w:eastAsia="sk-SK"/>
        </w:rPr>
      </w:pPr>
      <w:r w:rsidRPr="00F0732E">
        <w:rPr>
          <w:b/>
          <w:bCs/>
          <w:sz w:val="28"/>
          <w:szCs w:val="28"/>
          <w:lang w:eastAsia="sk-SK"/>
        </w:rPr>
        <w:t xml:space="preserve">ČLENOVIA – zamestnanecká časť </w:t>
      </w:r>
      <w:r w:rsidRPr="00F0732E">
        <w:rPr>
          <w:sz w:val="28"/>
          <w:szCs w:val="28"/>
          <w:lang w:eastAsia="sk-SK"/>
        </w:rPr>
        <w:t>(funkčné obdobie 2011 – 2015)</w:t>
      </w:r>
    </w:p>
    <w:p w:rsidR="00B51749" w:rsidRPr="00F0732E" w:rsidRDefault="00B51749" w:rsidP="00B51749">
      <w:pPr>
        <w:rPr>
          <w:sz w:val="28"/>
          <w:szCs w:val="28"/>
          <w:lang w:eastAsia="sk-SK"/>
        </w:rPr>
      </w:pPr>
      <w:r w:rsidRPr="00F0732E">
        <w:rPr>
          <w:sz w:val="28"/>
          <w:szCs w:val="28"/>
          <w:lang w:eastAsia="sk-SK"/>
        </w:rPr>
        <w:t>Ing. arch. Milan ANDRÁŠ, PhD. (FA)</w:t>
      </w:r>
    </w:p>
    <w:p w:rsidR="00B51749" w:rsidRPr="00F0732E" w:rsidRDefault="00B51749" w:rsidP="00B51749">
      <w:pPr>
        <w:rPr>
          <w:sz w:val="28"/>
          <w:szCs w:val="28"/>
          <w:lang w:eastAsia="sk-SK"/>
        </w:rPr>
      </w:pPr>
      <w:r w:rsidRPr="00F0732E">
        <w:rPr>
          <w:sz w:val="28"/>
          <w:szCs w:val="28"/>
          <w:lang w:eastAsia="sk-SK"/>
        </w:rPr>
        <w:t>prof. PhDr. Miroslav BOBRÍK, CSc. (FCHPT)</w:t>
      </w:r>
    </w:p>
    <w:p w:rsidR="00B51749" w:rsidRPr="00F0732E" w:rsidRDefault="00B51749" w:rsidP="00B51749">
      <w:pPr>
        <w:rPr>
          <w:sz w:val="28"/>
          <w:szCs w:val="28"/>
          <w:lang w:eastAsia="sk-SK"/>
        </w:rPr>
      </w:pPr>
      <w:r w:rsidRPr="00F0732E">
        <w:rPr>
          <w:sz w:val="28"/>
          <w:szCs w:val="28"/>
          <w:lang w:eastAsia="sk-SK"/>
        </w:rPr>
        <w:t>doc. Mgr. Dagmar CAGÁŇOVÁ, PhD. (MTF)</w:t>
      </w:r>
    </w:p>
    <w:p w:rsidR="00B51749" w:rsidRPr="00F0732E" w:rsidRDefault="009D075F" w:rsidP="00B51749">
      <w:pPr>
        <w:rPr>
          <w:sz w:val="28"/>
          <w:szCs w:val="28"/>
          <w:lang w:eastAsia="sk-SK"/>
        </w:rPr>
      </w:pPr>
      <w:r w:rsidRPr="00F0732E">
        <w:rPr>
          <w:sz w:val="28"/>
          <w:szCs w:val="28"/>
          <w:lang w:eastAsia="sk-SK"/>
        </w:rPr>
        <w:t>prof.</w:t>
      </w:r>
      <w:r w:rsidR="00B51749" w:rsidRPr="00F0732E">
        <w:rPr>
          <w:sz w:val="28"/>
          <w:szCs w:val="28"/>
          <w:lang w:eastAsia="sk-SK"/>
        </w:rPr>
        <w:t xml:space="preserve"> Ing. Ľubomír ČAPLOVIČ, PhD. (MTF)</w:t>
      </w:r>
    </w:p>
    <w:p w:rsidR="00B51749" w:rsidRPr="00F0732E" w:rsidRDefault="00B51749" w:rsidP="00B51749">
      <w:pPr>
        <w:rPr>
          <w:sz w:val="28"/>
          <w:szCs w:val="28"/>
          <w:lang w:eastAsia="sk-SK"/>
        </w:rPr>
      </w:pPr>
      <w:r w:rsidRPr="00F0732E">
        <w:rPr>
          <w:sz w:val="28"/>
          <w:szCs w:val="28"/>
          <w:lang w:eastAsia="sk-SK"/>
        </w:rPr>
        <w:t>doc. Ing. Jozef DICKÝ, PhD. (SvF)</w:t>
      </w:r>
    </w:p>
    <w:p w:rsidR="00B51749" w:rsidRPr="00F0732E" w:rsidRDefault="00B51749" w:rsidP="00B51749">
      <w:pPr>
        <w:rPr>
          <w:sz w:val="28"/>
          <w:szCs w:val="28"/>
          <w:lang w:eastAsia="sk-SK"/>
        </w:rPr>
      </w:pPr>
      <w:r w:rsidRPr="00F0732E">
        <w:rPr>
          <w:sz w:val="28"/>
          <w:szCs w:val="28"/>
          <w:lang w:eastAsia="sk-SK"/>
        </w:rPr>
        <w:t>prof. Ing. arch. Maroš FINKA, PhD. (ÚM)</w:t>
      </w:r>
    </w:p>
    <w:p w:rsidR="00B51749" w:rsidRPr="00F0732E" w:rsidRDefault="00B51749" w:rsidP="00B51749">
      <w:pPr>
        <w:rPr>
          <w:sz w:val="28"/>
          <w:szCs w:val="28"/>
          <w:lang w:eastAsia="sk-SK"/>
        </w:rPr>
      </w:pPr>
      <w:r w:rsidRPr="00F0732E">
        <w:rPr>
          <w:sz w:val="28"/>
          <w:szCs w:val="28"/>
          <w:lang w:eastAsia="sk-SK"/>
        </w:rPr>
        <w:t>doc. Ing. Ladislav HARMATHA, PhD. (FEI)</w:t>
      </w:r>
    </w:p>
    <w:p w:rsidR="00B51749" w:rsidRPr="00F0732E" w:rsidRDefault="00B51749" w:rsidP="00B51749">
      <w:pPr>
        <w:rPr>
          <w:sz w:val="28"/>
          <w:szCs w:val="28"/>
          <w:lang w:eastAsia="sk-SK"/>
        </w:rPr>
      </w:pPr>
      <w:r w:rsidRPr="00F0732E">
        <w:rPr>
          <w:sz w:val="28"/>
          <w:szCs w:val="28"/>
          <w:lang w:eastAsia="sk-SK"/>
        </w:rPr>
        <w:t xml:space="preserve">prof. Ing. Ján HÍVEŠ, </w:t>
      </w:r>
      <w:r w:rsidR="00B828C8">
        <w:rPr>
          <w:sz w:val="28"/>
          <w:szCs w:val="28"/>
          <w:lang w:eastAsia="sk-SK"/>
        </w:rPr>
        <w:t>PhD.</w:t>
      </w:r>
      <w:r w:rsidRPr="00F0732E">
        <w:rPr>
          <w:sz w:val="28"/>
          <w:szCs w:val="28"/>
          <w:lang w:eastAsia="sk-SK"/>
        </w:rPr>
        <w:t xml:space="preserve"> (FCHPT)</w:t>
      </w:r>
    </w:p>
    <w:p w:rsidR="00B51749" w:rsidRPr="00F0732E" w:rsidRDefault="00B51749" w:rsidP="00B51749">
      <w:pPr>
        <w:rPr>
          <w:sz w:val="28"/>
          <w:szCs w:val="28"/>
          <w:lang w:eastAsia="sk-SK"/>
        </w:rPr>
      </w:pPr>
      <w:r w:rsidRPr="00F0732E">
        <w:rPr>
          <w:sz w:val="28"/>
          <w:szCs w:val="28"/>
          <w:lang w:eastAsia="sk-SK"/>
        </w:rPr>
        <w:t>prof. Ing. Ivan HUDEC, PhD. (FCHPT)</w:t>
      </w:r>
    </w:p>
    <w:p w:rsidR="00B51749" w:rsidRPr="00F0732E" w:rsidRDefault="00B51749" w:rsidP="00B51749">
      <w:pPr>
        <w:rPr>
          <w:sz w:val="28"/>
          <w:szCs w:val="28"/>
          <w:lang w:eastAsia="sk-SK"/>
        </w:rPr>
      </w:pPr>
      <w:r w:rsidRPr="00F0732E">
        <w:rPr>
          <w:sz w:val="28"/>
          <w:szCs w:val="28"/>
          <w:lang w:eastAsia="sk-SK"/>
        </w:rPr>
        <w:t>Ing. Vladimír CHMELKO, PhD. (SjF)</w:t>
      </w:r>
    </w:p>
    <w:p w:rsidR="00B51749" w:rsidRPr="00F0732E" w:rsidRDefault="00B51749" w:rsidP="00B51749">
      <w:pPr>
        <w:rPr>
          <w:sz w:val="28"/>
          <w:szCs w:val="28"/>
          <w:lang w:eastAsia="sk-SK"/>
        </w:rPr>
      </w:pPr>
      <w:r w:rsidRPr="00F0732E">
        <w:rPr>
          <w:sz w:val="28"/>
          <w:szCs w:val="28"/>
          <w:lang w:eastAsia="sk-SK"/>
        </w:rPr>
        <w:t>prof. Ing. František JANÍČEK, PhD. (FEI)</w:t>
      </w:r>
    </w:p>
    <w:p w:rsidR="00B51749" w:rsidRPr="00F0732E" w:rsidRDefault="00B51749" w:rsidP="00B51749">
      <w:pPr>
        <w:rPr>
          <w:sz w:val="28"/>
          <w:szCs w:val="28"/>
          <w:lang w:eastAsia="sk-SK"/>
        </w:rPr>
      </w:pPr>
      <w:r w:rsidRPr="00F0732E">
        <w:rPr>
          <w:sz w:val="28"/>
          <w:szCs w:val="28"/>
          <w:lang w:eastAsia="sk-SK"/>
        </w:rPr>
        <w:t>doc. Ing. arch. Danica KONČEKOVÁ</w:t>
      </w:r>
      <w:r w:rsidR="003C08AD">
        <w:rPr>
          <w:sz w:val="28"/>
          <w:szCs w:val="28"/>
          <w:lang w:eastAsia="sk-SK"/>
        </w:rPr>
        <w:t>, PhD.</w:t>
      </w:r>
      <w:r w:rsidRPr="00F0732E">
        <w:rPr>
          <w:sz w:val="28"/>
          <w:szCs w:val="28"/>
          <w:lang w:eastAsia="sk-SK"/>
        </w:rPr>
        <w:t xml:space="preserve"> (FA), od 1. 7. 2014</w:t>
      </w:r>
    </w:p>
    <w:p w:rsidR="00B51749" w:rsidRPr="00F0732E" w:rsidRDefault="00B51749" w:rsidP="00B51749">
      <w:pPr>
        <w:rPr>
          <w:sz w:val="28"/>
          <w:szCs w:val="28"/>
          <w:lang w:eastAsia="sk-SK"/>
        </w:rPr>
      </w:pPr>
      <w:r w:rsidRPr="00F0732E">
        <w:rPr>
          <w:sz w:val="28"/>
          <w:szCs w:val="28"/>
          <w:lang w:eastAsia="sk-SK"/>
        </w:rPr>
        <w:t>Ing. Tomáš KOVÁČIK, PhD. (FIIT), od 1. 7. 2014</w:t>
      </w:r>
    </w:p>
    <w:p w:rsidR="00B51749" w:rsidRPr="00F0732E" w:rsidRDefault="00B51749" w:rsidP="00B51749">
      <w:pPr>
        <w:rPr>
          <w:sz w:val="28"/>
          <w:szCs w:val="28"/>
          <w:lang w:eastAsia="sk-SK"/>
        </w:rPr>
      </w:pPr>
      <w:r w:rsidRPr="00F0732E">
        <w:rPr>
          <w:sz w:val="28"/>
          <w:szCs w:val="28"/>
          <w:lang w:eastAsia="sk-SK"/>
        </w:rPr>
        <w:t>prof. Ing. Vladimír LUKEŠ, DrSc. (FCHPT)</w:t>
      </w:r>
    </w:p>
    <w:p w:rsidR="00B51749" w:rsidRPr="00F0732E" w:rsidRDefault="00B51749" w:rsidP="00B51749">
      <w:pPr>
        <w:rPr>
          <w:sz w:val="28"/>
          <w:szCs w:val="28"/>
          <w:lang w:eastAsia="sk-SK"/>
        </w:rPr>
      </w:pPr>
      <w:r w:rsidRPr="00F0732E">
        <w:rPr>
          <w:sz w:val="28"/>
          <w:szCs w:val="28"/>
          <w:lang w:eastAsia="sk-SK"/>
        </w:rPr>
        <w:t>Ing. arch. Pavel NAHÁLKA, PhD. (FA)</w:t>
      </w:r>
    </w:p>
    <w:p w:rsidR="00B51749" w:rsidRPr="00F0732E" w:rsidRDefault="00B51749" w:rsidP="00B51749">
      <w:pPr>
        <w:rPr>
          <w:sz w:val="28"/>
          <w:szCs w:val="28"/>
          <w:lang w:eastAsia="sk-SK"/>
        </w:rPr>
      </w:pPr>
      <w:r w:rsidRPr="00F0732E">
        <w:rPr>
          <w:sz w:val="28"/>
          <w:szCs w:val="28"/>
          <w:lang w:eastAsia="sk-SK"/>
        </w:rPr>
        <w:t>prof. Ing. Pavol NÁVRAT, PhD. (FIIT)</w:t>
      </w:r>
    </w:p>
    <w:p w:rsidR="00B51749" w:rsidRPr="00F0732E" w:rsidRDefault="00B51749" w:rsidP="00B51749">
      <w:pPr>
        <w:rPr>
          <w:sz w:val="28"/>
          <w:szCs w:val="28"/>
          <w:lang w:eastAsia="sk-SK"/>
        </w:rPr>
      </w:pPr>
      <w:r w:rsidRPr="00F0732E">
        <w:rPr>
          <w:sz w:val="28"/>
          <w:szCs w:val="28"/>
          <w:lang w:eastAsia="sk-SK"/>
        </w:rPr>
        <w:t>prof. Ing. Dušan PETRÁŠ, PhD. (SvF)</w:t>
      </w:r>
    </w:p>
    <w:p w:rsidR="00B51749" w:rsidRPr="00F0732E" w:rsidRDefault="00B51749" w:rsidP="00B51749">
      <w:pPr>
        <w:rPr>
          <w:sz w:val="28"/>
          <w:szCs w:val="28"/>
          <w:lang w:eastAsia="sk-SK"/>
        </w:rPr>
      </w:pPr>
      <w:r w:rsidRPr="00F0732E">
        <w:rPr>
          <w:sz w:val="28"/>
          <w:szCs w:val="28"/>
          <w:lang w:eastAsia="sk-SK"/>
        </w:rPr>
        <w:t>doc. Ing. Peter POKORNÝ, PhD. (MTF)</w:t>
      </w:r>
    </w:p>
    <w:p w:rsidR="00B51749" w:rsidRPr="00F0732E" w:rsidRDefault="00B51749" w:rsidP="00B51749">
      <w:pPr>
        <w:rPr>
          <w:sz w:val="28"/>
          <w:szCs w:val="28"/>
          <w:lang w:eastAsia="sk-SK"/>
        </w:rPr>
      </w:pPr>
      <w:r w:rsidRPr="00F0732E">
        <w:rPr>
          <w:sz w:val="28"/>
          <w:szCs w:val="28"/>
          <w:lang w:eastAsia="sk-SK"/>
        </w:rPr>
        <w:t>prof. Ing. Anton PUŠKÁR, PhD. (SvF)</w:t>
      </w:r>
    </w:p>
    <w:p w:rsidR="00B51749" w:rsidRPr="00F0732E" w:rsidRDefault="00B51749" w:rsidP="00B51749">
      <w:pPr>
        <w:rPr>
          <w:sz w:val="28"/>
          <w:szCs w:val="28"/>
          <w:lang w:eastAsia="sk-SK"/>
        </w:rPr>
      </w:pPr>
      <w:r w:rsidRPr="00F0732E">
        <w:rPr>
          <w:sz w:val="28"/>
          <w:szCs w:val="28"/>
          <w:lang w:eastAsia="sk-SK"/>
        </w:rPr>
        <w:t>prof. Ing. Boris ROHAĽ-ILKIV, CSc. (SjF)</w:t>
      </w:r>
    </w:p>
    <w:p w:rsidR="00B51749" w:rsidRPr="00F0732E" w:rsidRDefault="00B51749" w:rsidP="00B51749">
      <w:pPr>
        <w:rPr>
          <w:sz w:val="28"/>
          <w:szCs w:val="28"/>
          <w:lang w:eastAsia="sk-SK"/>
        </w:rPr>
      </w:pPr>
      <w:r w:rsidRPr="00F0732E">
        <w:rPr>
          <w:sz w:val="28"/>
          <w:szCs w:val="28"/>
          <w:lang w:eastAsia="sk-SK"/>
        </w:rPr>
        <w:t>doc. Ing. Danica ROSINOVÁ, PhD. (FEI)</w:t>
      </w:r>
    </w:p>
    <w:p w:rsidR="00B51749" w:rsidRPr="00F0732E" w:rsidRDefault="00B51749" w:rsidP="00B51749">
      <w:pPr>
        <w:rPr>
          <w:sz w:val="28"/>
          <w:szCs w:val="28"/>
          <w:lang w:eastAsia="sk-SK"/>
        </w:rPr>
      </w:pPr>
      <w:r w:rsidRPr="00F0732E">
        <w:rPr>
          <w:sz w:val="28"/>
          <w:szCs w:val="28"/>
          <w:lang w:eastAsia="sk-SK"/>
        </w:rPr>
        <w:t>doc. Ing. arch. Branislav SOMORA, PhD. (FA), do 30. 6. 2014</w:t>
      </w:r>
    </w:p>
    <w:p w:rsidR="00B51749" w:rsidRPr="00F0732E" w:rsidRDefault="00B51749" w:rsidP="00B51749">
      <w:pPr>
        <w:rPr>
          <w:sz w:val="28"/>
          <w:szCs w:val="28"/>
          <w:lang w:eastAsia="sk-SK"/>
        </w:rPr>
      </w:pPr>
      <w:r w:rsidRPr="00F0732E">
        <w:rPr>
          <w:sz w:val="28"/>
          <w:szCs w:val="28"/>
          <w:lang w:eastAsia="sk-SK"/>
        </w:rPr>
        <w:t>doc. Ing. Igor ŠČEPKA, PhD. (SjF)</w:t>
      </w:r>
    </w:p>
    <w:p w:rsidR="00B51749" w:rsidRPr="00F0732E" w:rsidRDefault="00B51749" w:rsidP="00B51749">
      <w:pPr>
        <w:rPr>
          <w:sz w:val="28"/>
          <w:szCs w:val="28"/>
          <w:lang w:eastAsia="sk-SK"/>
        </w:rPr>
      </w:pPr>
      <w:r w:rsidRPr="00F0732E">
        <w:rPr>
          <w:sz w:val="28"/>
          <w:szCs w:val="28"/>
          <w:lang w:eastAsia="sk-SK"/>
        </w:rPr>
        <w:t>Ing. Juraj ŠTEFANOVI</w:t>
      </w:r>
      <w:r w:rsidR="003C08AD">
        <w:rPr>
          <w:sz w:val="28"/>
          <w:szCs w:val="28"/>
          <w:lang w:eastAsia="sk-SK"/>
        </w:rPr>
        <w:t>Č</w:t>
      </w:r>
      <w:r w:rsidRPr="00F0732E">
        <w:rPr>
          <w:sz w:val="28"/>
          <w:szCs w:val="28"/>
          <w:lang w:eastAsia="sk-SK"/>
        </w:rPr>
        <w:t>, PhD. (FIIT), do 30. 6. 2014</w:t>
      </w:r>
    </w:p>
    <w:p w:rsidR="00B51749" w:rsidRPr="00F0732E" w:rsidRDefault="009D075F" w:rsidP="00B51749">
      <w:pPr>
        <w:rPr>
          <w:sz w:val="28"/>
          <w:szCs w:val="28"/>
          <w:lang w:eastAsia="sk-SK"/>
        </w:rPr>
      </w:pPr>
      <w:r>
        <w:rPr>
          <w:sz w:val="28"/>
          <w:szCs w:val="28"/>
          <w:lang w:eastAsia="sk-SK"/>
        </w:rPr>
        <w:t>prof</w:t>
      </w:r>
      <w:r w:rsidR="00B51749" w:rsidRPr="00F0732E">
        <w:rPr>
          <w:sz w:val="28"/>
          <w:szCs w:val="28"/>
          <w:lang w:eastAsia="sk-SK"/>
        </w:rPr>
        <w:t>. Ing. Pavol TANUŠKA, PhD. (MTF)</w:t>
      </w:r>
    </w:p>
    <w:p w:rsidR="00B51749" w:rsidRPr="00F0732E" w:rsidRDefault="00B51749" w:rsidP="00B51749">
      <w:pPr>
        <w:rPr>
          <w:sz w:val="28"/>
          <w:szCs w:val="28"/>
          <w:lang w:eastAsia="sk-SK"/>
        </w:rPr>
      </w:pPr>
      <w:r w:rsidRPr="00F0732E">
        <w:rPr>
          <w:sz w:val="28"/>
          <w:szCs w:val="28"/>
          <w:lang w:eastAsia="sk-SK"/>
        </w:rPr>
        <w:t>Ing. Peter TRÚCHLY, PhD. (FIIT)</w:t>
      </w:r>
    </w:p>
    <w:p w:rsidR="00B51749" w:rsidRPr="00F0732E" w:rsidRDefault="00B51749" w:rsidP="00B51749">
      <w:pPr>
        <w:rPr>
          <w:sz w:val="28"/>
          <w:szCs w:val="28"/>
          <w:lang w:eastAsia="sk-SK"/>
        </w:rPr>
      </w:pPr>
      <w:r w:rsidRPr="00F0732E">
        <w:rPr>
          <w:sz w:val="28"/>
          <w:szCs w:val="28"/>
          <w:lang w:eastAsia="sk-SK"/>
        </w:rPr>
        <w:t>prof. Ing. Stanislav UNČÍK, PhD. (SvF)</w:t>
      </w:r>
    </w:p>
    <w:p w:rsidR="00B51749" w:rsidRPr="00F0732E" w:rsidRDefault="00B51749" w:rsidP="00B51749">
      <w:pPr>
        <w:rPr>
          <w:sz w:val="28"/>
          <w:szCs w:val="28"/>
          <w:lang w:eastAsia="sk-SK"/>
        </w:rPr>
      </w:pPr>
      <w:r w:rsidRPr="00F0732E">
        <w:rPr>
          <w:sz w:val="28"/>
          <w:szCs w:val="28"/>
          <w:lang w:eastAsia="sk-SK"/>
        </w:rPr>
        <w:t>doc. Ing. Ján VAJDA, CSc. (FEI)</w:t>
      </w:r>
    </w:p>
    <w:p w:rsidR="00B51749" w:rsidRPr="00F0732E" w:rsidRDefault="00B51749" w:rsidP="00B51749">
      <w:pPr>
        <w:rPr>
          <w:sz w:val="28"/>
          <w:szCs w:val="28"/>
          <w:lang w:eastAsia="sk-SK"/>
        </w:rPr>
      </w:pPr>
      <w:r w:rsidRPr="00F0732E">
        <w:rPr>
          <w:sz w:val="28"/>
          <w:szCs w:val="28"/>
          <w:lang w:eastAsia="sk-SK"/>
        </w:rPr>
        <w:t>doc. Ing. Valentíno VRANIČ, PhD. (FIIT)</w:t>
      </w:r>
    </w:p>
    <w:p w:rsidR="00B51749" w:rsidRPr="00F0732E" w:rsidRDefault="00B51749" w:rsidP="00B51749">
      <w:pPr>
        <w:rPr>
          <w:sz w:val="28"/>
          <w:szCs w:val="28"/>
          <w:lang w:eastAsia="sk-SK"/>
        </w:rPr>
      </w:pPr>
      <w:r w:rsidRPr="00F0732E">
        <w:rPr>
          <w:b/>
          <w:bCs/>
          <w:sz w:val="28"/>
          <w:szCs w:val="28"/>
          <w:lang w:eastAsia="sk-SK"/>
        </w:rPr>
        <w:t xml:space="preserve">ČLENOVIA – študentská časť </w:t>
      </w:r>
      <w:r w:rsidRPr="00F0732E">
        <w:rPr>
          <w:sz w:val="28"/>
          <w:szCs w:val="28"/>
          <w:lang w:eastAsia="sk-SK"/>
        </w:rPr>
        <w:t>(funkčné obdobie 2011 – 2015)</w:t>
      </w:r>
    </w:p>
    <w:p w:rsidR="00B51749" w:rsidRPr="00F0732E" w:rsidRDefault="00B51749" w:rsidP="00B51749">
      <w:pPr>
        <w:rPr>
          <w:sz w:val="28"/>
          <w:szCs w:val="28"/>
          <w:lang w:eastAsia="sk-SK"/>
        </w:rPr>
      </w:pPr>
      <w:r w:rsidRPr="00F0732E">
        <w:rPr>
          <w:sz w:val="28"/>
          <w:szCs w:val="28"/>
          <w:lang w:eastAsia="sk-SK"/>
        </w:rPr>
        <w:t>Ing. Peter BEŇO (FEI), predseda študentskej časti od 28. 10. 2014</w:t>
      </w:r>
    </w:p>
    <w:p w:rsidR="00B51749" w:rsidRPr="00F0732E" w:rsidRDefault="00B51749" w:rsidP="00B51749">
      <w:pPr>
        <w:rPr>
          <w:sz w:val="28"/>
          <w:szCs w:val="28"/>
          <w:lang w:eastAsia="sk-SK"/>
        </w:rPr>
      </w:pPr>
      <w:r w:rsidRPr="00F0732E">
        <w:rPr>
          <w:sz w:val="28"/>
          <w:szCs w:val="28"/>
          <w:lang w:eastAsia="sk-SK"/>
        </w:rPr>
        <w:lastRenderedPageBreak/>
        <w:t>Zuzana BRYNDZOVÁ (FCHPT), od 17. 10. 2014</w:t>
      </w:r>
    </w:p>
    <w:p w:rsidR="00B51749" w:rsidRPr="00F0732E" w:rsidRDefault="00B51749" w:rsidP="00B51749">
      <w:pPr>
        <w:rPr>
          <w:sz w:val="28"/>
          <w:szCs w:val="28"/>
          <w:lang w:eastAsia="sk-SK"/>
        </w:rPr>
      </w:pPr>
      <w:r w:rsidRPr="00F0732E">
        <w:rPr>
          <w:sz w:val="28"/>
          <w:szCs w:val="28"/>
          <w:lang w:eastAsia="sk-SK"/>
        </w:rPr>
        <w:t>Michal BURANOVSKÝ (FA)</w:t>
      </w:r>
    </w:p>
    <w:p w:rsidR="00B51749" w:rsidRPr="00F0732E" w:rsidRDefault="00B51749" w:rsidP="00B51749">
      <w:pPr>
        <w:rPr>
          <w:sz w:val="28"/>
          <w:szCs w:val="28"/>
          <w:lang w:eastAsia="sk-SK"/>
        </w:rPr>
      </w:pPr>
      <w:r w:rsidRPr="00F0732E">
        <w:rPr>
          <w:sz w:val="28"/>
          <w:szCs w:val="28"/>
          <w:lang w:eastAsia="sk-SK"/>
        </w:rPr>
        <w:t>Ing. Michal HANIC (FEI)</w:t>
      </w:r>
    </w:p>
    <w:p w:rsidR="00B51749" w:rsidRPr="00F0732E" w:rsidRDefault="00B51749" w:rsidP="00B51749">
      <w:pPr>
        <w:rPr>
          <w:sz w:val="28"/>
          <w:szCs w:val="28"/>
          <w:lang w:eastAsia="sk-SK"/>
        </w:rPr>
      </w:pPr>
      <w:r w:rsidRPr="00F0732E">
        <w:rPr>
          <w:sz w:val="28"/>
          <w:szCs w:val="28"/>
          <w:lang w:eastAsia="sk-SK"/>
        </w:rPr>
        <w:t>Ing. Aleš HÁZ (FCHPT), podpredseda študentskej časti, člen do 31. 8. 2014</w:t>
      </w:r>
    </w:p>
    <w:p w:rsidR="00B51749" w:rsidRPr="00F0732E" w:rsidRDefault="00B51749" w:rsidP="00B51749">
      <w:pPr>
        <w:rPr>
          <w:sz w:val="28"/>
          <w:szCs w:val="28"/>
          <w:lang w:eastAsia="sk-SK"/>
        </w:rPr>
      </w:pPr>
      <w:r w:rsidRPr="00F0732E">
        <w:rPr>
          <w:sz w:val="28"/>
          <w:szCs w:val="28"/>
          <w:lang w:eastAsia="sk-SK"/>
        </w:rPr>
        <w:t>Ing. Natália HORŇÁKOVÁ (MTF</w:t>
      </w:r>
      <w:r w:rsidR="009D075F">
        <w:rPr>
          <w:sz w:val="28"/>
          <w:szCs w:val="28"/>
          <w:lang w:eastAsia="sk-SK"/>
        </w:rPr>
        <w:t>)</w:t>
      </w:r>
    </w:p>
    <w:p w:rsidR="00B51749" w:rsidRPr="00F0732E" w:rsidRDefault="00B51749" w:rsidP="00B51749">
      <w:pPr>
        <w:rPr>
          <w:sz w:val="28"/>
          <w:szCs w:val="28"/>
          <w:lang w:eastAsia="sk-SK"/>
        </w:rPr>
      </w:pPr>
      <w:r w:rsidRPr="00F0732E">
        <w:rPr>
          <w:sz w:val="28"/>
          <w:szCs w:val="28"/>
          <w:lang w:eastAsia="sk-SK"/>
        </w:rPr>
        <w:t>Lucia MIHÁLYOVÁ (SjF)</w:t>
      </w:r>
    </w:p>
    <w:p w:rsidR="00B51749" w:rsidRPr="00F0732E" w:rsidRDefault="00B51749" w:rsidP="00B51749">
      <w:pPr>
        <w:rPr>
          <w:sz w:val="28"/>
          <w:szCs w:val="28"/>
          <w:lang w:eastAsia="sk-SK"/>
        </w:rPr>
      </w:pPr>
      <w:r w:rsidRPr="00F0732E">
        <w:rPr>
          <w:sz w:val="28"/>
          <w:szCs w:val="28"/>
          <w:lang w:eastAsia="sk-SK"/>
        </w:rPr>
        <w:t>Ing. Robert MORO (FIIT)</w:t>
      </w:r>
    </w:p>
    <w:p w:rsidR="00B51749" w:rsidRPr="00F0732E" w:rsidRDefault="00B51749" w:rsidP="00B51749">
      <w:pPr>
        <w:rPr>
          <w:sz w:val="28"/>
          <w:szCs w:val="28"/>
          <w:lang w:eastAsia="sk-SK"/>
        </w:rPr>
      </w:pPr>
      <w:r w:rsidRPr="00F0732E">
        <w:rPr>
          <w:sz w:val="28"/>
          <w:szCs w:val="28"/>
          <w:lang w:eastAsia="sk-SK"/>
        </w:rPr>
        <w:t>Ing. Marek LODERER (FIIT), od 15. 10. 2014</w:t>
      </w:r>
    </w:p>
    <w:p w:rsidR="00B51749" w:rsidRPr="00F0732E" w:rsidRDefault="00B51749" w:rsidP="00B51749">
      <w:pPr>
        <w:rPr>
          <w:sz w:val="28"/>
          <w:szCs w:val="28"/>
          <w:lang w:eastAsia="sk-SK"/>
        </w:rPr>
      </w:pPr>
      <w:r w:rsidRPr="00F0732E">
        <w:rPr>
          <w:sz w:val="28"/>
          <w:szCs w:val="28"/>
          <w:lang w:eastAsia="sk-SK"/>
        </w:rPr>
        <w:t>Martin ONDRAŠČIN (SjF), podpredseda študentskej časti od 28. 10. 2014</w:t>
      </w:r>
    </w:p>
    <w:p w:rsidR="00B51749" w:rsidRPr="00F0732E" w:rsidRDefault="00B51749" w:rsidP="00B51749">
      <w:pPr>
        <w:rPr>
          <w:sz w:val="28"/>
          <w:szCs w:val="28"/>
          <w:lang w:eastAsia="sk-SK"/>
        </w:rPr>
      </w:pPr>
      <w:r w:rsidRPr="00F0732E">
        <w:rPr>
          <w:sz w:val="28"/>
          <w:szCs w:val="28"/>
          <w:lang w:eastAsia="sk-SK"/>
        </w:rPr>
        <w:t>Ing. Michal ONDRUŠKA (MTF)</w:t>
      </w:r>
    </w:p>
    <w:p w:rsidR="00B51749" w:rsidRPr="00F0732E" w:rsidRDefault="00B51749" w:rsidP="00B51749">
      <w:pPr>
        <w:rPr>
          <w:sz w:val="28"/>
          <w:szCs w:val="28"/>
          <w:lang w:eastAsia="sk-SK"/>
        </w:rPr>
      </w:pPr>
      <w:r w:rsidRPr="00F0732E">
        <w:rPr>
          <w:sz w:val="28"/>
          <w:szCs w:val="28"/>
          <w:lang w:eastAsia="sk-SK"/>
        </w:rPr>
        <w:t>Ing. Peter PIŠTEK (FIIT) – predseda študentskej časti, člen do 31. 8. 2014</w:t>
      </w:r>
    </w:p>
    <w:p w:rsidR="00B51749" w:rsidRPr="00F0732E" w:rsidRDefault="00B51749" w:rsidP="00B51749">
      <w:pPr>
        <w:rPr>
          <w:sz w:val="28"/>
          <w:szCs w:val="28"/>
          <w:lang w:eastAsia="sk-SK"/>
        </w:rPr>
      </w:pPr>
      <w:r w:rsidRPr="00F0732E">
        <w:rPr>
          <w:sz w:val="28"/>
          <w:szCs w:val="28"/>
          <w:lang w:eastAsia="sk-SK"/>
        </w:rPr>
        <w:t>Bc. Ivan SILÁČI (FA)</w:t>
      </w:r>
    </w:p>
    <w:p w:rsidR="00B51749" w:rsidRPr="00F0732E" w:rsidRDefault="00B51749" w:rsidP="00B51749">
      <w:pPr>
        <w:rPr>
          <w:sz w:val="28"/>
          <w:szCs w:val="28"/>
          <w:lang w:eastAsia="sk-SK"/>
        </w:rPr>
      </w:pPr>
      <w:r w:rsidRPr="00F0732E">
        <w:rPr>
          <w:sz w:val="28"/>
          <w:szCs w:val="28"/>
          <w:lang w:eastAsia="sk-SK"/>
        </w:rPr>
        <w:t>Ing. Gabriela SZÁNTOVÁ (SvF)</w:t>
      </w:r>
    </w:p>
    <w:p w:rsidR="00B51749" w:rsidRPr="00F0732E" w:rsidRDefault="00B51749" w:rsidP="00B51749">
      <w:pPr>
        <w:rPr>
          <w:sz w:val="28"/>
          <w:szCs w:val="28"/>
          <w:lang w:eastAsia="sk-SK"/>
        </w:rPr>
      </w:pPr>
      <w:r w:rsidRPr="00F0732E">
        <w:rPr>
          <w:sz w:val="28"/>
          <w:szCs w:val="28"/>
          <w:lang w:eastAsia="sk-SK"/>
        </w:rPr>
        <w:t xml:space="preserve">Bc. Lukáš ŠARKŐZI (ÚM) </w:t>
      </w:r>
    </w:p>
    <w:p w:rsidR="00B51749" w:rsidRPr="00F0732E" w:rsidRDefault="00B51749" w:rsidP="00B51749">
      <w:pPr>
        <w:rPr>
          <w:sz w:val="28"/>
          <w:szCs w:val="28"/>
          <w:lang w:eastAsia="sk-SK"/>
        </w:rPr>
      </w:pPr>
      <w:r w:rsidRPr="00F0732E">
        <w:rPr>
          <w:sz w:val="28"/>
          <w:szCs w:val="28"/>
          <w:lang w:eastAsia="sk-SK"/>
        </w:rPr>
        <w:t>Branislav ŠULGAN (FCHPT), od 17. 10. 2014</w:t>
      </w:r>
    </w:p>
    <w:p w:rsidR="00B51749" w:rsidRPr="00F0732E" w:rsidRDefault="00B51749" w:rsidP="00B51749">
      <w:pPr>
        <w:rPr>
          <w:sz w:val="28"/>
          <w:szCs w:val="28"/>
          <w:lang w:eastAsia="sk-SK"/>
        </w:rPr>
      </w:pPr>
      <w:r w:rsidRPr="00F0732E">
        <w:rPr>
          <w:sz w:val="28"/>
          <w:szCs w:val="28"/>
          <w:lang w:eastAsia="sk-SK"/>
        </w:rPr>
        <w:t>Bc. Lenka UHORSKAIOVÁ (FCHPT), do 31. 8. 2014</w:t>
      </w:r>
    </w:p>
    <w:p w:rsidR="00B51749" w:rsidRPr="00F0732E" w:rsidRDefault="00B51749" w:rsidP="00B51749">
      <w:pPr>
        <w:rPr>
          <w:sz w:val="28"/>
          <w:szCs w:val="28"/>
          <w:lang w:eastAsia="sk-SK"/>
        </w:rPr>
      </w:pPr>
      <w:r w:rsidRPr="00F0732E">
        <w:rPr>
          <w:sz w:val="28"/>
          <w:szCs w:val="28"/>
          <w:lang w:eastAsia="sk-SK"/>
        </w:rPr>
        <w:t>Bc. Kristína VAŇOVÁ (SvF)</w:t>
      </w:r>
    </w:p>
    <w:p w:rsidR="00B51749" w:rsidRPr="00F0732E" w:rsidRDefault="00B51749" w:rsidP="00B51749">
      <w:pPr>
        <w:rPr>
          <w:sz w:val="28"/>
          <w:szCs w:val="28"/>
        </w:rPr>
      </w:pPr>
    </w:p>
    <w:p w:rsidR="00B51749" w:rsidRPr="00F0732E" w:rsidRDefault="00B51749" w:rsidP="00B51749">
      <w:pPr>
        <w:rPr>
          <w:color w:val="FF0000"/>
          <w:sz w:val="28"/>
          <w:szCs w:val="28"/>
        </w:rPr>
      </w:pPr>
    </w:p>
    <w:p w:rsidR="00B51749" w:rsidRPr="00F0732E" w:rsidRDefault="00B51749" w:rsidP="00B51749">
      <w:pPr>
        <w:rPr>
          <w:sz w:val="28"/>
          <w:szCs w:val="28"/>
          <w:lang w:eastAsia="sk-SK"/>
        </w:rPr>
      </w:pPr>
    </w:p>
    <w:p w:rsidR="00B51749" w:rsidRPr="00F0732E" w:rsidRDefault="00B51749" w:rsidP="00B51749">
      <w:pPr>
        <w:rPr>
          <w:b/>
          <w:sz w:val="28"/>
          <w:szCs w:val="28"/>
          <w:lang w:eastAsia="sk-SK"/>
        </w:rPr>
      </w:pPr>
      <w:r w:rsidRPr="00F0732E">
        <w:rPr>
          <w:b/>
          <w:sz w:val="28"/>
          <w:szCs w:val="28"/>
          <w:lang w:eastAsia="sk-SK"/>
        </w:rPr>
        <w:t>Vedecká rada STU od 28. 3. 2011</w:t>
      </w:r>
    </w:p>
    <w:p w:rsidR="00B51749" w:rsidRPr="00F0732E" w:rsidRDefault="00B51749" w:rsidP="00B51749">
      <w:pPr>
        <w:rPr>
          <w:b/>
          <w:sz w:val="28"/>
          <w:szCs w:val="28"/>
          <w:lang w:eastAsia="sk-SK"/>
        </w:rPr>
      </w:pPr>
      <w:r w:rsidRPr="00F0732E">
        <w:rPr>
          <w:b/>
          <w:sz w:val="28"/>
          <w:szCs w:val="28"/>
          <w:lang w:eastAsia="sk-SK"/>
        </w:rPr>
        <w:t>PREDSEDA</w:t>
      </w:r>
    </w:p>
    <w:p w:rsidR="00B51749" w:rsidRPr="00F0732E" w:rsidRDefault="00B51749" w:rsidP="00B51749">
      <w:pPr>
        <w:rPr>
          <w:sz w:val="28"/>
          <w:szCs w:val="28"/>
          <w:lang w:eastAsia="sk-SK"/>
        </w:rPr>
      </w:pPr>
      <w:r w:rsidRPr="00F0732E">
        <w:rPr>
          <w:sz w:val="28"/>
          <w:szCs w:val="28"/>
          <w:lang w:eastAsia="sk-SK"/>
        </w:rPr>
        <w:t>prof. Ing. Robert REDHAMMER, PhD., elektronika</w:t>
      </w:r>
    </w:p>
    <w:p w:rsidR="00B51749" w:rsidRPr="00F0732E" w:rsidRDefault="00B51749" w:rsidP="00B51749">
      <w:pPr>
        <w:rPr>
          <w:b/>
          <w:sz w:val="28"/>
          <w:szCs w:val="28"/>
          <w:lang w:eastAsia="sk-SK"/>
        </w:rPr>
      </w:pPr>
      <w:r w:rsidRPr="00F0732E">
        <w:rPr>
          <w:b/>
          <w:sz w:val="28"/>
          <w:szCs w:val="28"/>
          <w:lang w:eastAsia="sk-SK"/>
        </w:rPr>
        <w:t>PODPREDSEDA</w:t>
      </w:r>
    </w:p>
    <w:p w:rsidR="00B51749" w:rsidRPr="00F0732E" w:rsidRDefault="00B51749" w:rsidP="00B51749">
      <w:pPr>
        <w:rPr>
          <w:sz w:val="28"/>
          <w:szCs w:val="28"/>
          <w:lang w:eastAsia="sk-SK"/>
        </w:rPr>
      </w:pPr>
      <w:r w:rsidRPr="00F0732E">
        <w:rPr>
          <w:sz w:val="28"/>
          <w:szCs w:val="28"/>
          <w:lang w:eastAsia="sk-SK"/>
        </w:rPr>
        <w:t>prof. Ing. Stanislav BISKUPIČ, DrSc., fyzikálna chémia a chemická fyzika</w:t>
      </w:r>
    </w:p>
    <w:p w:rsidR="00B51749" w:rsidRPr="00F0732E" w:rsidRDefault="00B51749" w:rsidP="00B51749">
      <w:pPr>
        <w:rPr>
          <w:b/>
          <w:sz w:val="28"/>
          <w:szCs w:val="28"/>
          <w:lang w:eastAsia="sk-SK"/>
        </w:rPr>
      </w:pPr>
      <w:r w:rsidRPr="00F0732E">
        <w:rPr>
          <w:b/>
          <w:sz w:val="28"/>
          <w:szCs w:val="28"/>
          <w:lang w:eastAsia="sk-SK"/>
        </w:rPr>
        <w:t>ČLENOVIA</w:t>
      </w:r>
    </w:p>
    <w:p w:rsidR="00B51749" w:rsidRPr="00F0732E" w:rsidRDefault="00B51749" w:rsidP="00B51749">
      <w:pPr>
        <w:rPr>
          <w:sz w:val="28"/>
          <w:szCs w:val="28"/>
          <w:lang w:eastAsia="sk-SK"/>
        </w:rPr>
      </w:pPr>
      <w:r w:rsidRPr="00F0732E">
        <w:rPr>
          <w:sz w:val="28"/>
          <w:szCs w:val="28"/>
          <w:lang w:eastAsia="sk-SK"/>
        </w:rPr>
        <w:t>doc. Ing. Pavel ČIČÁK, PhD., počítačové prostriedky a systémy (od decembra 2011)</w:t>
      </w:r>
    </w:p>
    <w:p w:rsidR="00B51749" w:rsidRPr="00F0732E" w:rsidRDefault="00B51749" w:rsidP="00B51749">
      <w:pPr>
        <w:rPr>
          <w:sz w:val="28"/>
          <w:szCs w:val="28"/>
          <w:lang w:eastAsia="sk-SK"/>
        </w:rPr>
      </w:pPr>
      <w:r w:rsidRPr="00F0732E">
        <w:rPr>
          <w:sz w:val="28"/>
          <w:szCs w:val="28"/>
          <w:lang w:eastAsia="sk-SK"/>
        </w:rPr>
        <w:t>prof. Ing. Ľudovít FILLO, PhD., inžinierske konštrukcie a dopravné stavby</w:t>
      </w:r>
    </w:p>
    <w:p w:rsidR="00B51749" w:rsidRPr="00F0732E" w:rsidRDefault="00B51749" w:rsidP="00B51749">
      <w:pPr>
        <w:rPr>
          <w:sz w:val="28"/>
          <w:szCs w:val="28"/>
          <w:lang w:eastAsia="sk-SK"/>
        </w:rPr>
      </w:pPr>
      <w:r w:rsidRPr="00F0732E">
        <w:rPr>
          <w:sz w:val="28"/>
          <w:szCs w:val="28"/>
          <w:lang w:eastAsia="sk-SK"/>
        </w:rPr>
        <w:t>prof. Ing. Anton GATIAL, DrSc., fyzikálna chémia</w:t>
      </w:r>
    </w:p>
    <w:p w:rsidR="00B51749" w:rsidRPr="00F0732E" w:rsidRDefault="00B51749" w:rsidP="00B51749">
      <w:pPr>
        <w:rPr>
          <w:sz w:val="28"/>
          <w:szCs w:val="28"/>
          <w:lang w:eastAsia="sk-SK"/>
        </w:rPr>
      </w:pPr>
      <w:r w:rsidRPr="00F0732E">
        <w:rPr>
          <w:sz w:val="28"/>
          <w:szCs w:val="28"/>
          <w:lang w:eastAsia="sk-SK"/>
        </w:rPr>
        <w:t>doc. Ing. František HORŇÁK, PhD., priemyselné inžinierstvo a manažment</w:t>
      </w:r>
    </w:p>
    <w:p w:rsidR="00B51749" w:rsidRPr="00F0732E" w:rsidRDefault="00B51749" w:rsidP="00B51749">
      <w:pPr>
        <w:rPr>
          <w:sz w:val="28"/>
          <w:szCs w:val="28"/>
          <w:lang w:eastAsia="sk-SK"/>
        </w:rPr>
      </w:pPr>
      <w:r w:rsidRPr="00F0732E">
        <w:rPr>
          <w:sz w:val="28"/>
          <w:szCs w:val="28"/>
          <w:lang w:eastAsia="sk-SK"/>
        </w:rPr>
        <w:t>prof. Ing. Gabriel HULKÓ, DrSc., automatizácia</w:t>
      </w:r>
    </w:p>
    <w:p w:rsidR="00B51749" w:rsidRPr="00F0732E" w:rsidRDefault="00B51749" w:rsidP="00B51749">
      <w:pPr>
        <w:rPr>
          <w:sz w:val="28"/>
          <w:szCs w:val="28"/>
          <w:lang w:eastAsia="sk-SK"/>
        </w:rPr>
      </w:pPr>
      <w:r w:rsidRPr="00F0732E">
        <w:rPr>
          <w:sz w:val="28"/>
          <w:szCs w:val="28"/>
          <w:lang w:eastAsia="sk-SK"/>
        </w:rPr>
        <w:t>prof. Ing. Koloman IVANIČKA, PhD., ekonomika a riadenie stavebníctva (</w:t>
      </w:r>
      <w:r w:rsidRPr="00F0732E">
        <w:rPr>
          <w:sz w:val="28"/>
          <w:szCs w:val="28"/>
        </w:rPr>
        <w:t>do októbra 2013)</w:t>
      </w:r>
    </w:p>
    <w:p w:rsidR="00B51749" w:rsidRPr="00F0732E" w:rsidRDefault="00B51749" w:rsidP="00B51749">
      <w:pPr>
        <w:rPr>
          <w:sz w:val="28"/>
          <w:szCs w:val="28"/>
          <w:lang w:eastAsia="sk-SK"/>
        </w:rPr>
      </w:pPr>
      <w:r w:rsidRPr="00F0732E">
        <w:rPr>
          <w:sz w:val="28"/>
          <w:szCs w:val="28"/>
          <w:lang w:eastAsia="sk-SK"/>
        </w:rPr>
        <w:t>prof. RNDr. Gabriel JUHÁS, PhD., aplikovaná informatika</w:t>
      </w:r>
    </w:p>
    <w:p w:rsidR="00B51749" w:rsidRPr="00F0732E" w:rsidRDefault="00B51749" w:rsidP="00B51749">
      <w:pPr>
        <w:rPr>
          <w:sz w:val="28"/>
          <w:szCs w:val="28"/>
          <w:lang w:eastAsia="sk-SK"/>
        </w:rPr>
      </w:pPr>
      <w:r w:rsidRPr="00F0732E">
        <w:rPr>
          <w:sz w:val="28"/>
          <w:szCs w:val="28"/>
          <w:lang w:eastAsia="sk-SK"/>
        </w:rPr>
        <w:t>prof. Ing. Alojz KOPÁČIK, PhD., geodézia a kartografia</w:t>
      </w:r>
    </w:p>
    <w:p w:rsidR="00B51749" w:rsidRPr="00F0732E" w:rsidRDefault="00B51749" w:rsidP="00B51749">
      <w:pPr>
        <w:rPr>
          <w:sz w:val="28"/>
          <w:szCs w:val="28"/>
          <w:lang w:eastAsia="sk-SK"/>
        </w:rPr>
      </w:pPr>
      <w:r w:rsidRPr="00F0732E">
        <w:rPr>
          <w:sz w:val="28"/>
          <w:szCs w:val="28"/>
          <w:lang w:eastAsia="sk-SK"/>
        </w:rPr>
        <w:t>prof. RNDr. Ľudovít MOLNÁR, DrSc., informatika (do decembra 2011)</w:t>
      </w:r>
    </w:p>
    <w:p w:rsidR="00B51749" w:rsidRPr="00F0732E" w:rsidRDefault="00B51749" w:rsidP="00B51749">
      <w:pPr>
        <w:rPr>
          <w:sz w:val="28"/>
          <w:szCs w:val="28"/>
          <w:lang w:eastAsia="sk-SK"/>
        </w:rPr>
      </w:pPr>
      <w:r w:rsidRPr="00F0732E">
        <w:rPr>
          <w:bCs/>
          <w:sz w:val="28"/>
          <w:szCs w:val="28"/>
        </w:rPr>
        <w:t xml:space="preserve">Dr.h.c. </w:t>
      </w:r>
      <w:r w:rsidRPr="00F0732E">
        <w:rPr>
          <w:sz w:val="28"/>
          <w:szCs w:val="28"/>
          <w:lang w:eastAsia="sk-SK"/>
        </w:rPr>
        <w:t>prof. Dr. Ing. Oliver MORAVČÍK, aplikovaná informatika a automatizácia v priemysle</w:t>
      </w:r>
    </w:p>
    <w:p w:rsidR="00B51749" w:rsidRPr="00F0732E" w:rsidRDefault="00B51749" w:rsidP="00B51749">
      <w:pPr>
        <w:rPr>
          <w:sz w:val="28"/>
          <w:szCs w:val="28"/>
          <w:lang w:eastAsia="sk-SK"/>
        </w:rPr>
      </w:pPr>
      <w:r w:rsidRPr="00F0732E">
        <w:rPr>
          <w:sz w:val="28"/>
          <w:szCs w:val="28"/>
          <w:lang w:eastAsia="sk-SK"/>
        </w:rPr>
        <w:t>prof. Ing. Pavol NÁVRAT, PhD., aplikovaná informatika</w:t>
      </w:r>
    </w:p>
    <w:p w:rsidR="00B51749" w:rsidRPr="00F0732E" w:rsidRDefault="00B51749" w:rsidP="00B51749">
      <w:pPr>
        <w:rPr>
          <w:sz w:val="28"/>
          <w:szCs w:val="28"/>
          <w:lang w:eastAsia="sk-SK"/>
        </w:rPr>
      </w:pPr>
      <w:r w:rsidRPr="00F0732E">
        <w:rPr>
          <w:sz w:val="28"/>
          <w:szCs w:val="28"/>
        </w:rPr>
        <w:t>prof. akad. soch. Peter PALIATKA, dizajn (od októbra 2013)</w:t>
      </w:r>
    </w:p>
    <w:p w:rsidR="00B51749" w:rsidRPr="00F0732E" w:rsidRDefault="00B51749" w:rsidP="00B51749">
      <w:pPr>
        <w:rPr>
          <w:sz w:val="28"/>
          <w:szCs w:val="28"/>
          <w:lang w:eastAsia="sk-SK"/>
        </w:rPr>
      </w:pPr>
      <w:r w:rsidRPr="00F0732E">
        <w:rPr>
          <w:sz w:val="28"/>
          <w:szCs w:val="28"/>
          <w:lang w:eastAsia="sk-SK"/>
        </w:rPr>
        <w:t>prof. Ing. Marián PECIAR, PhD., procesná technika</w:t>
      </w:r>
    </w:p>
    <w:p w:rsidR="00B51749" w:rsidRPr="00F0732E" w:rsidRDefault="00B51749" w:rsidP="00B51749">
      <w:pPr>
        <w:rPr>
          <w:sz w:val="28"/>
          <w:szCs w:val="28"/>
          <w:lang w:eastAsia="sk-SK"/>
        </w:rPr>
      </w:pPr>
      <w:r w:rsidRPr="00F0732E">
        <w:rPr>
          <w:sz w:val="28"/>
          <w:szCs w:val="28"/>
          <w:lang w:eastAsia="sk-SK"/>
        </w:rPr>
        <w:lastRenderedPageBreak/>
        <w:t>prof. Dr. Ing. Jozef PETERKA, technológie strojárskej výroby</w:t>
      </w:r>
    </w:p>
    <w:p w:rsidR="00B51749" w:rsidRPr="00F0732E" w:rsidRDefault="00B51749" w:rsidP="00B51749">
      <w:pPr>
        <w:rPr>
          <w:sz w:val="28"/>
          <w:szCs w:val="28"/>
          <w:lang w:eastAsia="sk-SK"/>
        </w:rPr>
      </w:pPr>
      <w:r w:rsidRPr="00F0732E">
        <w:rPr>
          <w:sz w:val="28"/>
          <w:szCs w:val="28"/>
          <w:lang w:eastAsia="sk-SK"/>
        </w:rPr>
        <w:t>prof. Ing. Milan SOKOL, PhD., aplikovaná mechanika</w:t>
      </w:r>
    </w:p>
    <w:p w:rsidR="00B51749" w:rsidRPr="00F0732E" w:rsidRDefault="00B51749" w:rsidP="00B51749">
      <w:pPr>
        <w:rPr>
          <w:sz w:val="28"/>
          <w:szCs w:val="28"/>
          <w:lang w:eastAsia="sk-SK"/>
        </w:rPr>
      </w:pPr>
      <w:r w:rsidRPr="00F0732E">
        <w:rPr>
          <w:sz w:val="28"/>
          <w:szCs w:val="28"/>
          <w:lang w:eastAsia="sk-SK"/>
        </w:rPr>
        <w:t>prof. Ing. Vladimír SLUGEŇ, DrSc., jadrová energetika</w:t>
      </w:r>
    </w:p>
    <w:p w:rsidR="00B51749" w:rsidRPr="00F0732E" w:rsidRDefault="00B51749" w:rsidP="00B51749">
      <w:pPr>
        <w:rPr>
          <w:sz w:val="28"/>
          <w:szCs w:val="28"/>
          <w:lang w:eastAsia="sk-SK"/>
        </w:rPr>
      </w:pPr>
      <w:r w:rsidRPr="00F0732E">
        <w:rPr>
          <w:sz w:val="28"/>
          <w:szCs w:val="28"/>
          <w:lang w:eastAsia="sk-SK"/>
        </w:rPr>
        <w:t>prof. Ing. Ján ŠAJBIDOR, DrSc., biotechnológie</w:t>
      </w:r>
    </w:p>
    <w:p w:rsidR="00B51749" w:rsidRPr="00F0732E" w:rsidRDefault="00B51749" w:rsidP="00B51749">
      <w:pPr>
        <w:rPr>
          <w:sz w:val="28"/>
          <w:szCs w:val="28"/>
          <w:lang w:eastAsia="sk-SK"/>
        </w:rPr>
      </w:pPr>
      <w:r w:rsidRPr="00F0732E">
        <w:rPr>
          <w:sz w:val="28"/>
          <w:szCs w:val="28"/>
          <w:lang w:eastAsia="sk-SK"/>
        </w:rPr>
        <w:t>prof. Ing. Ľubomír ŠOOŠ, PhD., výrobná technika</w:t>
      </w:r>
    </w:p>
    <w:p w:rsidR="00B51749" w:rsidRPr="00F0732E" w:rsidRDefault="00B51749" w:rsidP="00B51749">
      <w:pPr>
        <w:rPr>
          <w:sz w:val="28"/>
          <w:szCs w:val="28"/>
          <w:lang w:eastAsia="sk-SK"/>
        </w:rPr>
      </w:pPr>
      <w:r w:rsidRPr="00F0732E">
        <w:rPr>
          <w:sz w:val="28"/>
          <w:szCs w:val="28"/>
          <w:lang w:eastAsia="sk-SK"/>
        </w:rPr>
        <w:t>prof. Ing. arch. Robert ŠPAČEK, CSc., architektúra a urbanizmus (do októbra 2013)</w:t>
      </w:r>
    </w:p>
    <w:p w:rsidR="00B51749" w:rsidRPr="00F0732E" w:rsidRDefault="00B51749" w:rsidP="00B51749">
      <w:pPr>
        <w:rPr>
          <w:sz w:val="28"/>
          <w:szCs w:val="28"/>
          <w:lang w:eastAsia="sk-SK"/>
        </w:rPr>
      </w:pPr>
      <w:r w:rsidRPr="00F0732E">
        <w:rPr>
          <w:sz w:val="28"/>
          <w:szCs w:val="28"/>
          <w:lang w:eastAsia="sk-SK"/>
        </w:rPr>
        <w:t>doc. Ing. arch. Ľubica VITKOVÁ, PhD., architektúra a urbanizmus</w:t>
      </w:r>
    </w:p>
    <w:p w:rsidR="00B51749" w:rsidRPr="00F0732E" w:rsidRDefault="00B51749" w:rsidP="00B51749">
      <w:pPr>
        <w:rPr>
          <w:sz w:val="28"/>
          <w:szCs w:val="28"/>
          <w:lang w:eastAsia="sk-SK"/>
        </w:rPr>
      </w:pPr>
      <w:r w:rsidRPr="00F0732E">
        <w:rPr>
          <w:sz w:val="28"/>
          <w:szCs w:val="28"/>
        </w:rPr>
        <w:t>doc. Ing. Marián ZAJKO, PhD., MBA, manažment a riadenie (od októbra 2013)</w:t>
      </w:r>
    </w:p>
    <w:p w:rsidR="00B51749" w:rsidRPr="00F0732E" w:rsidRDefault="00B51749" w:rsidP="00B51749">
      <w:pPr>
        <w:rPr>
          <w:b/>
          <w:sz w:val="28"/>
          <w:szCs w:val="28"/>
          <w:lang w:eastAsia="sk-SK"/>
        </w:rPr>
      </w:pPr>
      <w:r w:rsidRPr="00F0732E">
        <w:rPr>
          <w:b/>
          <w:sz w:val="28"/>
          <w:szCs w:val="28"/>
          <w:lang w:eastAsia="sk-SK"/>
        </w:rPr>
        <w:t>EXTERNÍ ČLENOVIA</w:t>
      </w:r>
    </w:p>
    <w:p w:rsidR="00B51749" w:rsidRPr="00F0732E" w:rsidRDefault="00B51749" w:rsidP="00B51749">
      <w:pPr>
        <w:rPr>
          <w:sz w:val="28"/>
          <w:szCs w:val="28"/>
          <w:lang w:eastAsia="sk-SK"/>
        </w:rPr>
      </w:pPr>
      <w:r w:rsidRPr="00F0732E">
        <w:rPr>
          <w:sz w:val="28"/>
          <w:szCs w:val="28"/>
          <w:lang w:eastAsia="sk-SK"/>
        </w:rPr>
        <w:t xml:space="preserve">Dr.h.c. prof. Ing. Anton ČIŽMÁR, CSc., telekomunikácie </w:t>
      </w:r>
    </w:p>
    <w:p w:rsidR="00B51749" w:rsidRPr="00F0732E" w:rsidRDefault="00B51749" w:rsidP="00B51749">
      <w:pPr>
        <w:rPr>
          <w:sz w:val="28"/>
          <w:szCs w:val="28"/>
          <w:lang w:eastAsia="sk-SK"/>
        </w:rPr>
      </w:pPr>
      <w:r w:rsidRPr="00F0732E">
        <w:rPr>
          <w:sz w:val="28"/>
          <w:szCs w:val="28"/>
          <w:lang w:eastAsia="sk-SK"/>
        </w:rPr>
        <w:t>prof. Ing. Milan DADO, PhD., telekomunikácie</w:t>
      </w:r>
    </w:p>
    <w:p w:rsidR="00B51749" w:rsidRPr="00F0732E" w:rsidRDefault="00B51749" w:rsidP="00B51749">
      <w:pPr>
        <w:rPr>
          <w:sz w:val="28"/>
          <w:szCs w:val="28"/>
          <w:lang w:eastAsia="sk-SK"/>
        </w:rPr>
      </w:pPr>
      <w:r w:rsidRPr="00F0732E">
        <w:rPr>
          <w:sz w:val="28"/>
          <w:szCs w:val="28"/>
          <w:lang w:eastAsia="sk-SK"/>
        </w:rPr>
        <w:t xml:space="preserve">hosť. prof. Ing. Ľudovít KUPČA, CSc., materiály  </w:t>
      </w:r>
    </w:p>
    <w:p w:rsidR="00B51749" w:rsidRPr="00F0732E" w:rsidRDefault="00B51749" w:rsidP="00B51749">
      <w:pPr>
        <w:rPr>
          <w:sz w:val="28"/>
          <w:szCs w:val="28"/>
        </w:rPr>
      </w:pPr>
      <w:r w:rsidRPr="00F0732E">
        <w:rPr>
          <w:sz w:val="28"/>
          <w:szCs w:val="28"/>
          <w:lang w:eastAsia="sk-SK"/>
        </w:rPr>
        <w:t xml:space="preserve">Ing. Peter MATIAŠOVSKÝ, CSc., </w:t>
      </w:r>
      <w:r w:rsidRPr="00F0732E">
        <w:rPr>
          <w:sz w:val="28"/>
          <w:szCs w:val="28"/>
        </w:rPr>
        <w:t xml:space="preserve">teória a konštrukcie pozemných stavieb </w:t>
      </w:r>
    </w:p>
    <w:p w:rsidR="00B51749" w:rsidRPr="00F0732E" w:rsidRDefault="00B51749" w:rsidP="00B51749">
      <w:pPr>
        <w:rPr>
          <w:sz w:val="28"/>
          <w:szCs w:val="28"/>
          <w:lang w:eastAsia="sk-SK"/>
        </w:rPr>
      </w:pPr>
      <w:r w:rsidRPr="00F0732E">
        <w:rPr>
          <w:sz w:val="28"/>
          <w:szCs w:val="28"/>
          <w:lang w:eastAsia="sk-SK"/>
        </w:rPr>
        <w:t xml:space="preserve">prof. RNDr. Karol MIČIETA, PhD., biológia </w:t>
      </w:r>
    </w:p>
    <w:p w:rsidR="00B51749" w:rsidRPr="00F0732E" w:rsidRDefault="00B51749" w:rsidP="00B51749">
      <w:pPr>
        <w:rPr>
          <w:sz w:val="28"/>
          <w:szCs w:val="28"/>
          <w:lang w:eastAsia="sk-SK"/>
        </w:rPr>
      </w:pPr>
      <w:r w:rsidRPr="00F0732E">
        <w:rPr>
          <w:sz w:val="28"/>
          <w:szCs w:val="28"/>
          <w:lang w:eastAsia="sk-SK"/>
        </w:rPr>
        <w:t>prof. Dr. Ing. arch. Henrieta MORAVČÍKOVÁ, architektúra a urbanizmus</w:t>
      </w:r>
    </w:p>
    <w:p w:rsidR="00B51749" w:rsidRPr="00F0732E" w:rsidRDefault="00B51749" w:rsidP="00B51749">
      <w:pPr>
        <w:rPr>
          <w:sz w:val="28"/>
          <w:szCs w:val="28"/>
          <w:lang w:eastAsia="sk-SK"/>
        </w:rPr>
      </w:pPr>
      <w:r w:rsidRPr="00F0732E">
        <w:rPr>
          <w:sz w:val="28"/>
          <w:szCs w:val="28"/>
          <w:lang w:eastAsia="sk-SK"/>
        </w:rPr>
        <w:t>prof. RNDr. Jaromír PASTOREK, DrSc., mikrobiológia a virológia</w:t>
      </w:r>
    </w:p>
    <w:p w:rsidR="00B51749" w:rsidRPr="00F0732E" w:rsidRDefault="00B51749" w:rsidP="00B51749">
      <w:pPr>
        <w:rPr>
          <w:sz w:val="28"/>
          <w:szCs w:val="28"/>
          <w:lang w:eastAsia="sk-SK"/>
        </w:rPr>
      </w:pPr>
      <w:r w:rsidRPr="00F0732E">
        <w:rPr>
          <w:sz w:val="28"/>
          <w:szCs w:val="28"/>
          <w:lang w:eastAsia="sk-SK"/>
        </w:rPr>
        <w:t xml:space="preserve">Ing. Anton SCHEBER, CSc., informačné systémy </w:t>
      </w:r>
    </w:p>
    <w:p w:rsidR="00B51749" w:rsidRPr="00F0732E" w:rsidRDefault="00B51749" w:rsidP="00B51749">
      <w:pPr>
        <w:rPr>
          <w:sz w:val="28"/>
          <w:szCs w:val="28"/>
          <w:lang w:eastAsia="sk-SK"/>
        </w:rPr>
      </w:pPr>
      <w:r w:rsidRPr="00F0732E">
        <w:rPr>
          <w:sz w:val="28"/>
          <w:szCs w:val="28"/>
          <w:lang w:eastAsia="sk-SK"/>
        </w:rPr>
        <w:t xml:space="preserve">Ing. Vladimír SLEZÁK, stroje pre chemický a potravinársky priemysel  </w:t>
      </w:r>
    </w:p>
    <w:p w:rsidR="00B51749" w:rsidRPr="00F0732E" w:rsidRDefault="00B51749" w:rsidP="00B51749">
      <w:pPr>
        <w:rPr>
          <w:sz w:val="28"/>
          <w:szCs w:val="28"/>
          <w:lang w:eastAsia="sk-SK"/>
        </w:rPr>
      </w:pPr>
      <w:r w:rsidRPr="00F0732E">
        <w:rPr>
          <w:sz w:val="28"/>
          <w:szCs w:val="28"/>
          <w:lang w:eastAsia="sk-SK"/>
        </w:rPr>
        <w:t>prof. RNDr. Pavol ŠAJGALÍK, DrSc., anorganická technológia a materiály</w:t>
      </w:r>
    </w:p>
    <w:p w:rsidR="00B51749" w:rsidRPr="00F0732E" w:rsidRDefault="00B51749" w:rsidP="00B51749">
      <w:pPr>
        <w:rPr>
          <w:b/>
          <w:sz w:val="28"/>
          <w:szCs w:val="28"/>
          <w:lang w:eastAsia="sk-SK"/>
        </w:rPr>
      </w:pPr>
      <w:r w:rsidRPr="00F0732E">
        <w:rPr>
          <w:b/>
          <w:sz w:val="28"/>
          <w:szCs w:val="28"/>
          <w:lang w:eastAsia="sk-SK"/>
        </w:rPr>
        <w:t>ČESTNÍ ČLENOVIA</w:t>
      </w:r>
    </w:p>
    <w:p w:rsidR="00B51749" w:rsidRPr="00F0732E" w:rsidRDefault="00B51749" w:rsidP="00B51749">
      <w:pPr>
        <w:rPr>
          <w:sz w:val="28"/>
          <w:szCs w:val="28"/>
          <w:lang w:eastAsia="sk-SK"/>
        </w:rPr>
      </w:pPr>
      <w:r w:rsidRPr="00F0732E">
        <w:rPr>
          <w:sz w:val="28"/>
          <w:szCs w:val="28"/>
          <w:lang w:eastAsia="sk-SK"/>
        </w:rPr>
        <w:t>prof. Ing. Václav HAVLÍČEK, CSc., teoretická elektrotechnika</w:t>
      </w:r>
    </w:p>
    <w:p w:rsidR="00B51749" w:rsidRPr="00F0732E" w:rsidRDefault="00B51749" w:rsidP="00B51749">
      <w:pPr>
        <w:rPr>
          <w:sz w:val="28"/>
          <w:szCs w:val="28"/>
          <w:lang w:eastAsia="sk-SK"/>
        </w:rPr>
      </w:pPr>
      <w:r w:rsidRPr="00F0732E">
        <w:rPr>
          <w:sz w:val="28"/>
          <w:szCs w:val="28"/>
          <w:lang w:eastAsia="sk-SK"/>
        </w:rPr>
        <w:t>prof. Ing. Karel RAIS, CSc., MBA, manažment a riadenie</w:t>
      </w:r>
    </w:p>
    <w:p w:rsidR="00B51749" w:rsidRPr="00F0732E" w:rsidRDefault="00B51749" w:rsidP="00B51749">
      <w:pPr>
        <w:rPr>
          <w:b/>
          <w:sz w:val="28"/>
          <w:szCs w:val="28"/>
          <w:lang w:eastAsia="sk-SK"/>
        </w:rPr>
      </w:pPr>
      <w:r w:rsidRPr="00F0732E">
        <w:rPr>
          <w:b/>
          <w:sz w:val="28"/>
          <w:szCs w:val="28"/>
          <w:lang w:eastAsia="sk-SK"/>
        </w:rPr>
        <w:t>TAJOMNÍČKA</w:t>
      </w:r>
    </w:p>
    <w:p w:rsidR="00B51749" w:rsidRPr="00F0732E" w:rsidRDefault="00B51749" w:rsidP="00B51749">
      <w:pPr>
        <w:rPr>
          <w:sz w:val="28"/>
          <w:szCs w:val="28"/>
          <w:lang w:eastAsia="sk-SK"/>
        </w:rPr>
      </w:pPr>
      <w:r w:rsidRPr="00F0732E">
        <w:rPr>
          <w:sz w:val="28"/>
          <w:szCs w:val="28"/>
          <w:lang w:eastAsia="sk-SK"/>
        </w:rPr>
        <w:t>Ing. Dagmar PETRÍKOVÁ</w:t>
      </w:r>
    </w:p>
    <w:p w:rsidR="00B51749" w:rsidRPr="00F0732E" w:rsidRDefault="00B51749" w:rsidP="00B51749">
      <w:pPr>
        <w:rPr>
          <w:b/>
          <w:sz w:val="28"/>
          <w:szCs w:val="28"/>
        </w:rPr>
      </w:pPr>
    </w:p>
    <w:p w:rsidR="00B51749" w:rsidRPr="00F0732E" w:rsidRDefault="00B51749" w:rsidP="00B51749">
      <w:pPr>
        <w:rPr>
          <w:b/>
          <w:sz w:val="28"/>
          <w:szCs w:val="28"/>
        </w:rPr>
      </w:pPr>
    </w:p>
    <w:p w:rsidR="00B51749" w:rsidRPr="00F0732E" w:rsidRDefault="00B51749" w:rsidP="00B51749">
      <w:pPr>
        <w:rPr>
          <w:b/>
          <w:bCs/>
          <w:sz w:val="28"/>
          <w:szCs w:val="28"/>
        </w:rPr>
      </w:pPr>
      <w:r w:rsidRPr="00F0732E">
        <w:rPr>
          <w:b/>
          <w:bCs/>
          <w:sz w:val="28"/>
          <w:szCs w:val="28"/>
        </w:rPr>
        <w:t>Disciplinárna komisia vysokej školy pre študentov:</w:t>
      </w:r>
    </w:p>
    <w:p w:rsidR="00B51749" w:rsidRPr="00F0732E" w:rsidRDefault="00B51749" w:rsidP="00B51749">
      <w:pPr>
        <w:pStyle w:val="Normlnywebov"/>
        <w:spacing w:before="0" w:beforeAutospacing="0" w:after="0" w:afterAutospacing="0"/>
        <w:jc w:val="left"/>
        <w:rPr>
          <w:rFonts w:ascii="Cambria" w:hAnsi="Cambria"/>
          <w:b/>
          <w:bCs/>
          <w:sz w:val="28"/>
          <w:szCs w:val="28"/>
          <w:lang w:eastAsia="sk-SK"/>
        </w:rPr>
      </w:pPr>
      <w:r w:rsidRPr="00F0732E">
        <w:rPr>
          <w:rFonts w:ascii="Cambria" w:hAnsi="Cambria"/>
          <w:b/>
          <w:bCs/>
          <w:sz w:val="28"/>
          <w:szCs w:val="28"/>
          <w:lang w:eastAsia="sk-SK"/>
        </w:rPr>
        <w:t xml:space="preserve">PREDSEDA: </w:t>
      </w:r>
    </w:p>
    <w:p w:rsidR="00B51749" w:rsidRPr="00F0732E" w:rsidRDefault="00B51749" w:rsidP="00B51749">
      <w:pPr>
        <w:pStyle w:val="Normlnywebov"/>
        <w:spacing w:before="0" w:beforeAutospacing="0" w:after="0" w:afterAutospacing="0"/>
        <w:jc w:val="left"/>
        <w:rPr>
          <w:rFonts w:ascii="Cambria" w:hAnsi="Cambria"/>
          <w:sz w:val="28"/>
          <w:szCs w:val="28"/>
          <w:lang w:eastAsia="sk-SK"/>
        </w:rPr>
      </w:pPr>
      <w:r w:rsidRPr="00F0732E">
        <w:rPr>
          <w:rFonts w:ascii="Cambria" w:hAnsi="Cambria"/>
          <w:sz w:val="28"/>
          <w:szCs w:val="28"/>
          <w:lang w:eastAsia="sk-SK"/>
        </w:rPr>
        <w:t>doc. Ing. František HORŇÁK, PhD.</w:t>
      </w:r>
    </w:p>
    <w:p w:rsidR="00B51749" w:rsidRPr="00F0732E" w:rsidRDefault="00B51749" w:rsidP="00B51749">
      <w:pPr>
        <w:rPr>
          <w:b/>
          <w:bCs/>
          <w:sz w:val="28"/>
          <w:szCs w:val="28"/>
          <w:lang w:eastAsia="sk-SK"/>
        </w:rPr>
      </w:pPr>
      <w:r w:rsidRPr="00F0732E">
        <w:rPr>
          <w:b/>
          <w:bCs/>
          <w:sz w:val="28"/>
          <w:szCs w:val="28"/>
          <w:lang w:eastAsia="sk-SK"/>
        </w:rPr>
        <w:t>ČLENOVIA:</w:t>
      </w:r>
    </w:p>
    <w:p w:rsidR="00B51749" w:rsidRPr="00F0732E" w:rsidRDefault="00B51749" w:rsidP="00B51749">
      <w:pPr>
        <w:rPr>
          <w:sz w:val="28"/>
          <w:szCs w:val="28"/>
          <w:lang w:eastAsia="sk-SK"/>
        </w:rPr>
      </w:pPr>
      <w:r w:rsidRPr="00F0732E">
        <w:rPr>
          <w:sz w:val="28"/>
          <w:szCs w:val="28"/>
          <w:lang w:eastAsia="sk-SK"/>
        </w:rPr>
        <w:t>prof. Ing. arch. Maroš FINKA, PhD. (zamestnanec)</w:t>
      </w:r>
    </w:p>
    <w:p w:rsidR="00B51749" w:rsidRPr="00F0732E" w:rsidRDefault="00B51749" w:rsidP="00B51749">
      <w:pPr>
        <w:rPr>
          <w:sz w:val="28"/>
          <w:szCs w:val="28"/>
          <w:lang w:eastAsia="sk-SK"/>
        </w:rPr>
      </w:pPr>
      <w:r w:rsidRPr="00F0732E">
        <w:rPr>
          <w:sz w:val="28"/>
          <w:szCs w:val="28"/>
          <w:lang w:eastAsia="sk-SK"/>
        </w:rPr>
        <w:t>doc. PhDr. Dagmar PETRÍKOVÁ, PhD. (zamestnanec)</w:t>
      </w:r>
    </w:p>
    <w:p w:rsidR="00B51749" w:rsidRPr="00F0732E" w:rsidRDefault="00B51749" w:rsidP="00B51749">
      <w:pPr>
        <w:rPr>
          <w:sz w:val="28"/>
          <w:szCs w:val="28"/>
          <w:lang w:eastAsia="sk-SK"/>
        </w:rPr>
      </w:pPr>
      <w:r w:rsidRPr="00F0732E">
        <w:rPr>
          <w:sz w:val="28"/>
          <w:szCs w:val="28"/>
          <w:lang w:eastAsia="sk-SK"/>
        </w:rPr>
        <w:t>doc. Ing. Daniela ŠPIRKOVÁ, PhD. (zamestnanec)</w:t>
      </w:r>
    </w:p>
    <w:p w:rsidR="00B51749" w:rsidRPr="00F0732E" w:rsidRDefault="00B51749" w:rsidP="00B51749">
      <w:pPr>
        <w:rPr>
          <w:sz w:val="28"/>
          <w:szCs w:val="28"/>
          <w:lang w:eastAsia="sk-SK"/>
        </w:rPr>
      </w:pPr>
      <w:r w:rsidRPr="00F0732E">
        <w:rPr>
          <w:sz w:val="28"/>
          <w:szCs w:val="28"/>
          <w:lang w:eastAsia="sk-SK"/>
        </w:rPr>
        <w:t>Ing. Filip GULAN (študent)</w:t>
      </w:r>
    </w:p>
    <w:p w:rsidR="00B51749" w:rsidRPr="00F0732E" w:rsidRDefault="00B51749" w:rsidP="00B51749">
      <w:pPr>
        <w:shd w:val="clear" w:color="auto" w:fill="FFFFFF"/>
        <w:rPr>
          <w:sz w:val="28"/>
          <w:szCs w:val="28"/>
          <w:lang w:eastAsia="sk-SK"/>
        </w:rPr>
      </w:pPr>
      <w:r w:rsidRPr="00F0732E">
        <w:rPr>
          <w:sz w:val="28"/>
          <w:szCs w:val="28"/>
          <w:lang w:eastAsia="sk-SK"/>
        </w:rPr>
        <w:t>Matej MASARYK (študent)</w:t>
      </w:r>
    </w:p>
    <w:p w:rsidR="00B51749" w:rsidRPr="00F0732E" w:rsidRDefault="00B51749" w:rsidP="00B51749">
      <w:pPr>
        <w:shd w:val="clear" w:color="auto" w:fill="FFFFFF"/>
        <w:rPr>
          <w:sz w:val="28"/>
          <w:szCs w:val="28"/>
          <w:lang w:eastAsia="sk-SK"/>
        </w:rPr>
      </w:pPr>
      <w:r w:rsidRPr="00F0732E">
        <w:rPr>
          <w:sz w:val="28"/>
          <w:szCs w:val="28"/>
          <w:lang w:eastAsia="sk-SK"/>
        </w:rPr>
        <w:t>Bc. Michaela KONEČNÁ (študent)</w:t>
      </w:r>
    </w:p>
    <w:p w:rsidR="00B51749" w:rsidRPr="00F0732E" w:rsidRDefault="00B51749" w:rsidP="00B51749">
      <w:pPr>
        <w:shd w:val="clear" w:color="auto" w:fill="FFFFFF"/>
        <w:rPr>
          <w:sz w:val="28"/>
          <w:szCs w:val="28"/>
          <w:lang w:eastAsia="sk-SK"/>
        </w:rPr>
      </w:pPr>
      <w:r w:rsidRPr="00F0732E">
        <w:rPr>
          <w:sz w:val="28"/>
          <w:szCs w:val="28"/>
          <w:lang w:eastAsia="sk-SK"/>
        </w:rPr>
        <w:t>Ing. Csilla FÜLÖPOVÁ (študent)</w:t>
      </w:r>
    </w:p>
    <w:p w:rsidR="00B51749" w:rsidRPr="00F0732E" w:rsidRDefault="00B51749" w:rsidP="00B51749">
      <w:pPr>
        <w:rPr>
          <w:b/>
          <w:sz w:val="28"/>
          <w:szCs w:val="28"/>
          <w:lang w:eastAsia="sk-SK"/>
        </w:rPr>
      </w:pPr>
      <w:r w:rsidRPr="00F0732E">
        <w:rPr>
          <w:b/>
          <w:sz w:val="28"/>
          <w:szCs w:val="28"/>
          <w:lang w:eastAsia="sk-SK"/>
        </w:rPr>
        <w:t>TAJOMNÍČKA:</w:t>
      </w:r>
    </w:p>
    <w:p w:rsidR="00B51749" w:rsidRPr="00F0732E" w:rsidRDefault="00B51749" w:rsidP="00B51749">
      <w:pPr>
        <w:rPr>
          <w:sz w:val="28"/>
          <w:szCs w:val="28"/>
          <w:lang w:eastAsia="sk-SK"/>
        </w:rPr>
      </w:pPr>
      <w:r w:rsidRPr="00F0732E">
        <w:rPr>
          <w:sz w:val="28"/>
          <w:szCs w:val="28"/>
          <w:lang w:eastAsia="sk-SK"/>
        </w:rPr>
        <w:t>Mgr. Marianna MICHELKOVÁ</w:t>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rPr>
          <w:b/>
          <w:sz w:val="28"/>
          <w:szCs w:val="28"/>
        </w:rPr>
      </w:pPr>
      <w:r w:rsidRPr="00F0732E">
        <w:rPr>
          <w:b/>
          <w:sz w:val="28"/>
          <w:szCs w:val="28"/>
        </w:rPr>
        <w:t>Súčasti univerzity</w:t>
      </w:r>
    </w:p>
    <w:p w:rsidR="00B51749" w:rsidRPr="00F0732E" w:rsidRDefault="00B51749" w:rsidP="00B51749">
      <w:pPr>
        <w:rPr>
          <w:sz w:val="28"/>
          <w:szCs w:val="28"/>
        </w:rPr>
      </w:pPr>
      <w:r w:rsidRPr="00F0732E">
        <w:rPr>
          <w:sz w:val="28"/>
          <w:szCs w:val="28"/>
        </w:rPr>
        <w:t>Fakulty:</w:t>
      </w:r>
    </w:p>
    <w:p w:rsidR="00B51749" w:rsidRPr="00F0732E" w:rsidRDefault="00B51749" w:rsidP="00B51749">
      <w:pPr>
        <w:rPr>
          <w:b/>
          <w:iCs/>
          <w:sz w:val="28"/>
          <w:szCs w:val="28"/>
        </w:rPr>
      </w:pPr>
      <w:r w:rsidRPr="00F0732E">
        <w:rPr>
          <w:b/>
          <w:iCs/>
          <w:sz w:val="28"/>
          <w:szCs w:val="28"/>
        </w:rPr>
        <w:t>Stavebná fakulta (SvF)</w:t>
      </w:r>
    </w:p>
    <w:p w:rsidR="00B51749" w:rsidRPr="00F0732E" w:rsidRDefault="00B51749" w:rsidP="00B51749">
      <w:pPr>
        <w:rPr>
          <w:sz w:val="28"/>
          <w:szCs w:val="28"/>
        </w:rPr>
      </w:pPr>
      <w:r w:rsidRPr="00F0732E">
        <w:rPr>
          <w:sz w:val="28"/>
          <w:szCs w:val="28"/>
        </w:rPr>
        <w:t xml:space="preserve">Dekan: prof. Ing. Alojz KOPÁČIK, PhD. </w:t>
      </w:r>
      <w:r w:rsidRPr="00F0732E">
        <w:rPr>
          <w:iCs/>
          <w:sz w:val="28"/>
          <w:szCs w:val="28"/>
        </w:rPr>
        <w:t>(od 1. 2. 2011)</w:t>
      </w:r>
    </w:p>
    <w:p w:rsidR="00B51749" w:rsidRPr="00F0732E" w:rsidRDefault="00B51749" w:rsidP="00B51749">
      <w:pPr>
        <w:rPr>
          <w:b/>
          <w:sz w:val="28"/>
          <w:szCs w:val="28"/>
        </w:rPr>
      </w:pPr>
      <w:r w:rsidRPr="00F0732E">
        <w:rPr>
          <w:b/>
          <w:sz w:val="28"/>
          <w:szCs w:val="28"/>
        </w:rPr>
        <w:t>Strojnícka fakulta (SjF)</w:t>
      </w:r>
    </w:p>
    <w:p w:rsidR="00B51749" w:rsidRPr="00F0732E" w:rsidRDefault="00B51749" w:rsidP="00B51749">
      <w:pPr>
        <w:rPr>
          <w:sz w:val="28"/>
          <w:szCs w:val="28"/>
        </w:rPr>
      </w:pPr>
      <w:r w:rsidRPr="00F0732E">
        <w:rPr>
          <w:sz w:val="28"/>
          <w:szCs w:val="28"/>
        </w:rPr>
        <w:t xml:space="preserve">Dekan: prof. Ing. Ľubomír ŠOOŠ, PhD. (od </w:t>
      </w:r>
      <w:r w:rsidRPr="00F0732E">
        <w:rPr>
          <w:bCs/>
          <w:sz w:val="28"/>
          <w:szCs w:val="28"/>
        </w:rPr>
        <w:t>1. 2. 2007)</w:t>
      </w:r>
    </w:p>
    <w:p w:rsidR="00B51749" w:rsidRPr="00F0732E" w:rsidRDefault="00B51749" w:rsidP="00B51749">
      <w:pPr>
        <w:rPr>
          <w:b/>
          <w:iCs/>
          <w:sz w:val="28"/>
          <w:szCs w:val="28"/>
        </w:rPr>
      </w:pPr>
      <w:r w:rsidRPr="00F0732E">
        <w:rPr>
          <w:b/>
          <w:iCs/>
          <w:sz w:val="28"/>
          <w:szCs w:val="28"/>
        </w:rPr>
        <w:t>Fakulta elektrotechniky a informatiky (FEI)</w:t>
      </w:r>
    </w:p>
    <w:p w:rsidR="00B51749" w:rsidRPr="00F0732E" w:rsidRDefault="00B51749" w:rsidP="00B51749">
      <w:pPr>
        <w:rPr>
          <w:sz w:val="28"/>
          <w:szCs w:val="28"/>
        </w:rPr>
      </w:pPr>
      <w:r w:rsidRPr="00F0732E">
        <w:rPr>
          <w:sz w:val="28"/>
          <w:szCs w:val="28"/>
        </w:rPr>
        <w:t xml:space="preserve">Dekan: </w:t>
      </w:r>
      <w:r w:rsidRPr="00F0732E">
        <w:rPr>
          <w:iCs/>
          <w:sz w:val="28"/>
          <w:szCs w:val="28"/>
        </w:rPr>
        <w:t>prof. RNDr. Gabriel JUHÁS, PhD. (od 1. 2. 2011)</w:t>
      </w:r>
    </w:p>
    <w:p w:rsidR="00B51749" w:rsidRPr="00F0732E" w:rsidRDefault="00B51749" w:rsidP="00B51749">
      <w:pPr>
        <w:rPr>
          <w:b/>
          <w:sz w:val="28"/>
          <w:szCs w:val="28"/>
        </w:rPr>
      </w:pPr>
      <w:r w:rsidRPr="00F0732E">
        <w:rPr>
          <w:b/>
          <w:sz w:val="28"/>
          <w:szCs w:val="28"/>
        </w:rPr>
        <w:t>Fakulta chemickej a potravinárskej technológie (FCHPT)</w:t>
      </w:r>
    </w:p>
    <w:p w:rsidR="00B51749" w:rsidRPr="00F0732E" w:rsidRDefault="00B51749" w:rsidP="00B51749">
      <w:pPr>
        <w:rPr>
          <w:sz w:val="28"/>
          <w:szCs w:val="28"/>
        </w:rPr>
      </w:pPr>
      <w:r w:rsidRPr="00F0732E">
        <w:rPr>
          <w:sz w:val="28"/>
          <w:szCs w:val="28"/>
        </w:rPr>
        <w:t>Dekan: prof. Ing. Ján ŠAJBIDOR, DrSc. (od 1. 2. 2011)</w:t>
      </w:r>
    </w:p>
    <w:p w:rsidR="00B51749" w:rsidRPr="00F0732E" w:rsidRDefault="00B51749" w:rsidP="00B51749">
      <w:pPr>
        <w:rPr>
          <w:b/>
          <w:sz w:val="28"/>
          <w:szCs w:val="28"/>
        </w:rPr>
      </w:pPr>
      <w:r w:rsidRPr="00F0732E">
        <w:rPr>
          <w:b/>
          <w:sz w:val="28"/>
          <w:szCs w:val="28"/>
        </w:rPr>
        <w:t>Fakulta architektúry (FA)</w:t>
      </w:r>
    </w:p>
    <w:p w:rsidR="00B51749" w:rsidRPr="00F0732E" w:rsidRDefault="00B51749" w:rsidP="00B51749">
      <w:pPr>
        <w:rPr>
          <w:sz w:val="28"/>
          <w:szCs w:val="28"/>
        </w:rPr>
      </w:pPr>
      <w:r w:rsidRPr="00F0732E">
        <w:rPr>
          <w:sz w:val="28"/>
          <w:szCs w:val="28"/>
        </w:rPr>
        <w:t>Dekanka: doc. Ing. arch. Ľubica VITKOVÁ, PhD. (od 16. 9. 2010)</w:t>
      </w:r>
    </w:p>
    <w:p w:rsidR="00B51749" w:rsidRPr="00F0732E" w:rsidRDefault="00B51749" w:rsidP="00B51749">
      <w:pPr>
        <w:rPr>
          <w:b/>
          <w:iCs/>
          <w:sz w:val="28"/>
          <w:szCs w:val="28"/>
        </w:rPr>
      </w:pPr>
      <w:r w:rsidRPr="00F0732E">
        <w:rPr>
          <w:b/>
          <w:iCs/>
          <w:sz w:val="28"/>
          <w:szCs w:val="28"/>
        </w:rPr>
        <w:t>Materiálovotechnologická fakulta (MTF)</w:t>
      </w:r>
    </w:p>
    <w:p w:rsidR="00B51749" w:rsidRPr="00F0732E" w:rsidRDefault="00B51749" w:rsidP="00B51749">
      <w:pPr>
        <w:rPr>
          <w:sz w:val="28"/>
          <w:szCs w:val="28"/>
        </w:rPr>
      </w:pPr>
      <w:r w:rsidRPr="00F0732E">
        <w:rPr>
          <w:sz w:val="28"/>
          <w:szCs w:val="28"/>
        </w:rPr>
        <w:t xml:space="preserve">Dekan: </w:t>
      </w:r>
      <w:r w:rsidRPr="00F0732E">
        <w:rPr>
          <w:bCs/>
          <w:sz w:val="28"/>
          <w:szCs w:val="28"/>
        </w:rPr>
        <w:t xml:space="preserve">Dr.h.c. </w:t>
      </w:r>
      <w:r w:rsidRPr="00F0732E">
        <w:rPr>
          <w:sz w:val="28"/>
          <w:szCs w:val="28"/>
        </w:rPr>
        <w:t>prof. Dr. Ing. Oliver MORAVČÍK (od 1. 10. 2006, do 30. 9. 2014)</w:t>
      </w:r>
    </w:p>
    <w:p w:rsidR="00B51749" w:rsidRPr="00F0732E" w:rsidRDefault="00B51749" w:rsidP="00B51749">
      <w:pPr>
        <w:rPr>
          <w:sz w:val="28"/>
          <w:szCs w:val="28"/>
        </w:rPr>
      </w:pPr>
      <w:r w:rsidRPr="00F0732E">
        <w:rPr>
          <w:sz w:val="28"/>
          <w:szCs w:val="28"/>
        </w:rPr>
        <w:t>Dekan: prof. Dr. Ing. Jozef PETERKA (od 1. 10. 2014)</w:t>
      </w:r>
    </w:p>
    <w:p w:rsidR="00B51749" w:rsidRPr="00F0732E" w:rsidRDefault="00B51749" w:rsidP="00B51749">
      <w:pPr>
        <w:rPr>
          <w:b/>
          <w:iCs/>
          <w:sz w:val="28"/>
          <w:szCs w:val="28"/>
        </w:rPr>
      </w:pPr>
      <w:r w:rsidRPr="00F0732E">
        <w:rPr>
          <w:b/>
          <w:iCs/>
          <w:sz w:val="28"/>
          <w:szCs w:val="28"/>
        </w:rPr>
        <w:t>Fakulta informatiky a informačných technológií (FIIT)</w:t>
      </w:r>
    </w:p>
    <w:p w:rsidR="00B51749" w:rsidRPr="00F0732E" w:rsidRDefault="00B51749" w:rsidP="00B51749">
      <w:pPr>
        <w:rPr>
          <w:sz w:val="28"/>
          <w:szCs w:val="28"/>
        </w:rPr>
      </w:pPr>
      <w:r w:rsidRPr="00F0732E">
        <w:rPr>
          <w:sz w:val="28"/>
          <w:szCs w:val="28"/>
        </w:rPr>
        <w:t>Dekan:</w:t>
      </w:r>
      <w:r w:rsidRPr="00F0732E">
        <w:rPr>
          <w:iCs/>
          <w:sz w:val="28"/>
          <w:szCs w:val="28"/>
        </w:rPr>
        <w:t xml:space="preserve"> doc. Ing. Pavel ČIČÁK, PhD. (od </w:t>
      </w:r>
      <w:r w:rsidRPr="00F0732E">
        <w:rPr>
          <w:bCs/>
          <w:sz w:val="28"/>
          <w:szCs w:val="28"/>
        </w:rPr>
        <w:t>2. 12. 2011</w:t>
      </w:r>
      <w:r w:rsidRPr="00F0732E">
        <w:rPr>
          <w:sz w:val="28"/>
          <w:szCs w:val="28"/>
        </w:rPr>
        <w:t>)</w:t>
      </w:r>
    </w:p>
    <w:p w:rsidR="00B51749" w:rsidRPr="00F0732E" w:rsidRDefault="00B51749" w:rsidP="00B51749">
      <w:pPr>
        <w:rPr>
          <w:b/>
          <w:iCs/>
          <w:sz w:val="28"/>
          <w:szCs w:val="28"/>
        </w:rPr>
      </w:pPr>
    </w:p>
    <w:p w:rsidR="00B51749" w:rsidRPr="00F0732E" w:rsidRDefault="00B51749" w:rsidP="00B51749">
      <w:pPr>
        <w:autoSpaceDE w:val="0"/>
        <w:autoSpaceDN w:val="0"/>
        <w:adjustRightInd w:val="0"/>
        <w:rPr>
          <w:b/>
          <w:sz w:val="28"/>
          <w:szCs w:val="28"/>
        </w:rPr>
      </w:pPr>
    </w:p>
    <w:p w:rsidR="00B51749" w:rsidRPr="00F0732E" w:rsidRDefault="00B51749" w:rsidP="00B51749">
      <w:pPr>
        <w:autoSpaceDE w:val="0"/>
        <w:autoSpaceDN w:val="0"/>
        <w:adjustRightInd w:val="0"/>
        <w:rPr>
          <w:b/>
          <w:sz w:val="28"/>
          <w:szCs w:val="28"/>
        </w:rPr>
      </w:pPr>
      <w:r w:rsidRPr="00F0732E">
        <w:rPr>
          <w:b/>
          <w:sz w:val="28"/>
          <w:szCs w:val="28"/>
        </w:rPr>
        <w:t>Ostatné súčasti univerzity:</w:t>
      </w:r>
    </w:p>
    <w:p w:rsidR="00B51749" w:rsidRPr="00F0732E" w:rsidRDefault="00B51749" w:rsidP="00B51749">
      <w:pPr>
        <w:autoSpaceDE w:val="0"/>
        <w:autoSpaceDN w:val="0"/>
        <w:adjustRightInd w:val="0"/>
        <w:rPr>
          <w:sz w:val="28"/>
          <w:szCs w:val="28"/>
        </w:rPr>
      </w:pPr>
      <w:r w:rsidRPr="00F0732E">
        <w:rPr>
          <w:sz w:val="28"/>
          <w:szCs w:val="28"/>
        </w:rPr>
        <w:t>Rektorát STU (R STU)</w:t>
      </w:r>
    </w:p>
    <w:p w:rsidR="00B51749" w:rsidRPr="00F0732E" w:rsidRDefault="00B51749" w:rsidP="00B51749">
      <w:pPr>
        <w:autoSpaceDE w:val="0"/>
        <w:autoSpaceDN w:val="0"/>
        <w:adjustRightInd w:val="0"/>
        <w:rPr>
          <w:sz w:val="28"/>
          <w:szCs w:val="28"/>
        </w:rPr>
      </w:pPr>
      <w:r w:rsidRPr="00F0732E">
        <w:rPr>
          <w:sz w:val="28"/>
          <w:szCs w:val="28"/>
        </w:rPr>
        <w:t>Centrum výpočtovej techniky STU (CVT STU)</w:t>
      </w:r>
    </w:p>
    <w:p w:rsidR="00B51749" w:rsidRPr="00F0732E" w:rsidRDefault="00B51749" w:rsidP="00B51749">
      <w:pPr>
        <w:autoSpaceDE w:val="0"/>
        <w:autoSpaceDN w:val="0"/>
        <w:adjustRightInd w:val="0"/>
        <w:rPr>
          <w:sz w:val="28"/>
          <w:szCs w:val="28"/>
        </w:rPr>
      </w:pPr>
      <w:r w:rsidRPr="00F0732E">
        <w:rPr>
          <w:sz w:val="28"/>
          <w:szCs w:val="28"/>
        </w:rPr>
        <w:t>Archív STU</w:t>
      </w:r>
    </w:p>
    <w:p w:rsidR="00B51749" w:rsidRPr="00F0732E" w:rsidRDefault="00B51749" w:rsidP="00B51749">
      <w:pPr>
        <w:autoSpaceDE w:val="0"/>
        <w:autoSpaceDN w:val="0"/>
        <w:adjustRightInd w:val="0"/>
        <w:rPr>
          <w:sz w:val="28"/>
          <w:szCs w:val="28"/>
        </w:rPr>
      </w:pPr>
      <w:r w:rsidRPr="00F0732E">
        <w:rPr>
          <w:sz w:val="28"/>
          <w:szCs w:val="28"/>
        </w:rPr>
        <w:t>Nakladateľstvo STU</w:t>
      </w:r>
    </w:p>
    <w:p w:rsidR="00B51749" w:rsidRPr="00F0732E" w:rsidRDefault="00B51749" w:rsidP="00B51749">
      <w:pPr>
        <w:autoSpaceDE w:val="0"/>
        <w:autoSpaceDN w:val="0"/>
        <w:adjustRightInd w:val="0"/>
        <w:rPr>
          <w:sz w:val="28"/>
          <w:szCs w:val="28"/>
        </w:rPr>
      </w:pPr>
      <w:r w:rsidRPr="00F0732E">
        <w:rPr>
          <w:sz w:val="28"/>
          <w:szCs w:val="28"/>
        </w:rPr>
        <w:t>Inštitút celoživotného vzdelávania STU (ICV STU)</w:t>
      </w:r>
    </w:p>
    <w:p w:rsidR="00B51749" w:rsidRPr="00F0732E" w:rsidRDefault="00B51749" w:rsidP="00B51749">
      <w:pPr>
        <w:autoSpaceDE w:val="0"/>
        <w:autoSpaceDN w:val="0"/>
        <w:adjustRightInd w:val="0"/>
        <w:rPr>
          <w:sz w:val="28"/>
          <w:szCs w:val="28"/>
        </w:rPr>
      </w:pPr>
      <w:r w:rsidRPr="00F0732E">
        <w:rPr>
          <w:sz w:val="28"/>
          <w:szCs w:val="28"/>
        </w:rPr>
        <w:t>Výskumné centrum STU (VC STU)</w:t>
      </w:r>
    </w:p>
    <w:p w:rsidR="00B51749" w:rsidRPr="00F0732E" w:rsidRDefault="00B51749" w:rsidP="00B51749">
      <w:pPr>
        <w:autoSpaceDE w:val="0"/>
        <w:autoSpaceDN w:val="0"/>
        <w:adjustRightInd w:val="0"/>
        <w:rPr>
          <w:sz w:val="28"/>
          <w:szCs w:val="28"/>
        </w:rPr>
      </w:pPr>
      <w:r w:rsidRPr="00F0732E">
        <w:rPr>
          <w:sz w:val="28"/>
          <w:szCs w:val="28"/>
        </w:rPr>
        <w:t>Ústav manažmentu STU (ÚM STU)</w:t>
      </w:r>
    </w:p>
    <w:p w:rsidR="00B51749" w:rsidRPr="00F0732E" w:rsidRDefault="00B51749" w:rsidP="00B51749">
      <w:pPr>
        <w:autoSpaceDE w:val="0"/>
        <w:autoSpaceDN w:val="0"/>
        <w:adjustRightInd w:val="0"/>
        <w:rPr>
          <w:b/>
          <w:sz w:val="28"/>
          <w:szCs w:val="28"/>
        </w:rPr>
      </w:pPr>
      <w:r w:rsidRPr="00F0732E">
        <w:rPr>
          <w:b/>
          <w:sz w:val="28"/>
          <w:szCs w:val="28"/>
        </w:rPr>
        <w:t>Účelové zariadenia STU:</w:t>
      </w:r>
    </w:p>
    <w:p w:rsidR="00B51749" w:rsidRPr="00F0732E" w:rsidRDefault="00B51749" w:rsidP="00B51749">
      <w:pPr>
        <w:autoSpaceDE w:val="0"/>
        <w:autoSpaceDN w:val="0"/>
        <w:adjustRightInd w:val="0"/>
        <w:rPr>
          <w:i/>
          <w:sz w:val="28"/>
          <w:szCs w:val="28"/>
        </w:rPr>
      </w:pPr>
      <w:r w:rsidRPr="00F0732E">
        <w:rPr>
          <w:sz w:val="28"/>
          <w:szCs w:val="28"/>
        </w:rPr>
        <w:t>Účelové zariadenie Študentské domovy a jedálne STU</w:t>
      </w:r>
    </w:p>
    <w:p w:rsidR="00B51749" w:rsidRPr="00F0732E" w:rsidRDefault="00B51749" w:rsidP="00B51749">
      <w:pPr>
        <w:autoSpaceDE w:val="0"/>
        <w:autoSpaceDN w:val="0"/>
        <w:adjustRightInd w:val="0"/>
        <w:rPr>
          <w:sz w:val="28"/>
          <w:szCs w:val="28"/>
        </w:rPr>
      </w:pPr>
      <w:r w:rsidRPr="00F0732E">
        <w:rPr>
          <w:sz w:val="28"/>
          <w:szCs w:val="28"/>
        </w:rPr>
        <w:t xml:space="preserve">Účelové zariadenie STU v Gabčíkove </w:t>
      </w:r>
    </w:p>
    <w:p w:rsidR="00B51749" w:rsidRPr="00F0732E" w:rsidRDefault="00B51749" w:rsidP="00B51749">
      <w:pPr>
        <w:autoSpaceDE w:val="0"/>
        <w:autoSpaceDN w:val="0"/>
        <w:adjustRightInd w:val="0"/>
        <w:rPr>
          <w:sz w:val="28"/>
          <w:szCs w:val="28"/>
        </w:rPr>
      </w:pPr>
      <w:r w:rsidRPr="00F0732E">
        <w:rPr>
          <w:sz w:val="28"/>
          <w:szCs w:val="28"/>
        </w:rPr>
        <w:t>Vysokoškolský umelecký súbor Technik STU</w:t>
      </w:r>
    </w:p>
    <w:p w:rsidR="00B51749" w:rsidRPr="00F0732E" w:rsidRDefault="00B51749" w:rsidP="00B51749">
      <w:pPr>
        <w:autoSpaceDE w:val="0"/>
        <w:autoSpaceDN w:val="0"/>
        <w:adjustRightInd w:val="0"/>
        <w:rPr>
          <w:sz w:val="28"/>
          <w:szCs w:val="28"/>
        </w:rPr>
      </w:pPr>
      <w:r w:rsidRPr="00F0732E">
        <w:rPr>
          <w:sz w:val="28"/>
          <w:szCs w:val="28"/>
        </w:rPr>
        <w:t>Centrum akademického športu STU</w:t>
      </w:r>
    </w:p>
    <w:p w:rsidR="00B51749" w:rsidRPr="00F0732E" w:rsidRDefault="00B51749" w:rsidP="00B51749">
      <w:pPr>
        <w:autoSpaceDE w:val="0"/>
        <w:autoSpaceDN w:val="0"/>
        <w:adjustRightInd w:val="0"/>
        <w:rPr>
          <w:b/>
          <w:i/>
          <w:iCs/>
          <w:color w:val="FF0000"/>
          <w:sz w:val="28"/>
          <w:szCs w:val="28"/>
        </w:rPr>
      </w:pPr>
    </w:p>
    <w:p w:rsidR="00B51749" w:rsidRPr="00F0732E" w:rsidRDefault="00B51749" w:rsidP="00B51749">
      <w:pPr>
        <w:autoSpaceDE w:val="0"/>
        <w:autoSpaceDN w:val="0"/>
        <w:adjustRightInd w:val="0"/>
        <w:rPr>
          <w:b/>
          <w:i/>
          <w:iCs/>
          <w:color w:val="FF0000"/>
          <w:sz w:val="28"/>
          <w:szCs w:val="28"/>
        </w:rPr>
      </w:pPr>
    </w:p>
    <w:p w:rsidR="00B51749" w:rsidRPr="00F0732E" w:rsidRDefault="00B51749" w:rsidP="00B51749">
      <w:pPr>
        <w:autoSpaceDE w:val="0"/>
        <w:autoSpaceDN w:val="0"/>
        <w:adjustRightInd w:val="0"/>
        <w:rPr>
          <w:b/>
          <w:i/>
          <w:iCs/>
          <w:sz w:val="28"/>
          <w:szCs w:val="28"/>
        </w:rPr>
      </w:pPr>
      <w:r w:rsidRPr="00F0732E">
        <w:rPr>
          <w:b/>
          <w:sz w:val="28"/>
          <w:szCs w:val="28"/>
        </w:rPr>
        <w:t>Správna rada STU</w:t>
      </w:r>
    </w:p>
    <w:p w:rsidR="00B51749" w:rsidRPr="00F0732E" w:rsidRDefault="00B51749" w:rsidP="00B51749">
      <w:pPr>
        <w:pStyle w:val="Bezriadkovania"/>
        <w:rPr>
          <w:rFonts w:ascii="Cambria" w:hAnsi="Cambria"/>
          <w:sz w:val="28"/>
          <w:szCs w:val="28"/>
          <w:u w:val="single"/>
        </w:rPr>
      </w:pPr>
      <w:r w:rsidRPr="00F0732E">
        <w:rPr>
          <w:rFonts w:ascii="Cambria" w:hAnsi="Cambria"/>
          <w:sz w:val="28"/>
          <w:szCs w:val="28"/>
          <w:u w:val="single"/>
        </w:rPr>
        <w:t xml:space="preserve">Členovia Správnej rady navrhnutí ministrom školstva: </w:t>
      </w:r>
    </w:p>
    <w:p w:rsidR="00B51749" w:rsidRPr="00F0732E" w:rsidRDefault="00B51749" w:rsidP="00B51749">
      <w:pPr>
        <w:rPr>
          <w:sz w:val="28"/>
          <w:szCs w:val="28"/>
        </w:rPr>
      </w:pPr>
      <w:r w:rsidRPr="00F0732E">
        <w:rPr>
          <w:sz w:val="28"/>
          <w:szCs w:val="28"/>
        </w:rPr>
        <w:t xml:space="preserve">Ing. Miroslav HAVLÍK, riaditeľ Evonik Fermas s.r.o., Slovenská Ľupča </w:t>
      </w:r>
    </w:p>
    <w:p w:rsidR="00B51749" w:rsidRPr="00F0732E" w:rsidRDefault="00B51749" w:rsidP="00B51749">
      <w:pPr>
        <w:rPr>
          <w:sz w:val="28"/>
          <w:szCs w:val="28"/>
        </w:rPr>
      </w:pPr>
      <w:r w:rsidRPr="00F0732E">
        <w:rPr>
          <w:sz w:val="28"/>
          <w:szCs w:val="28"/>
        </w:rPr>
        <w:t>(17. 4. 2013 – 17. 4. 2019)</w:t>
      </w:r>
    </w:p>
    <w:p w:rsidR="00B51749" w:rsidRPr="00F0732E" w:rsidRDefault="00B51749" w:rsidP="00B51749">
      <w:pPr>
        <w:rPr>
          <w:sz w:val="28"/>
          <w:szCs w:val="28"/>
        </w:rPr>
      </w:pPr>
      <w:r w:rsidRPr="00F0732E">
        <w:rPr>
          <w:sz w:val="28"/>
          <w:szCs w:val="28"/>
        </w:rPr>
        <w:lastRenderedPageBreak/>
        <w:t xml:space="preserve">JUDr. Anton ONDREJ, MBA, riaditeľ pre ľudské zdroje a externú komunikáciu, Samsung Electronics Slovakia s.r.o., zástupca Slovenskej elektromechanickej asociácie </w:t>
      </w:r>
    </w:p>
    <w:p w:rsidR="00B51749" w:rsidRPr="00F0732E" w:rsidRDefault="00B51749" w:rsidP="00B51749">
      <w:pPr>
        <w:rPr>
          <w:sz w:val="28"/>
          <w:szCs w:val="28"/>
        </w:rPr>
      </w:pPr>
      <w:r w:rsidRPr="00F0732E">
        <w:rPr>
          <w:sz w:val="28"/>
          <w:szCs w:val="28"/>
        </w:rPr>
        <w:t>(17. 4. 2013 – 17. 4. 2019)</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 xml:space="preserve">doc. Ing. Ľubomír HARACH, CSc., predseda predstavenstva PLM, a. s., Bratislava, </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(5. 5. 2011 – 5. 5. 2017)</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 xml:space="preserve">Ing. Ján KIRÁLY, generálny riaditeľ Frucona, a. s., hospodárska oblasť </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(5. 5. 2009 – 5. 5. 2015)</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Ing. Matej KOREC,</w:t>
      </w:r>
      <w:r w:rsidR="00156AFA">
        <w:rPr>
          <w:rFonts w:ascii="Cambria" w:hAnsi="Cambria"/>
          <w:sz w:val="28"/>
          <w:szCs w:val="28"/>
        </w:rPr>
        <w:t xml:space="preserve"> </w:t>
      </w:r>
      <w:r w:rsidR="004344A7">
        <w:rPr>
          <w:rFonts w:ascii="Cambria" w:hAnsi="Cambria"/>
          <w:sz w:val="28"/>
          <w:szCs w:val="28"/>
        </w:rPr>
        <w:t xml:space="preserve">MSc. </w:t>
      </w:r>
      <w:r w:rsidR="00156AFA" w:rsidRPr="004344A7">
        <w:rPr>
          <w:rFonts w:ascii="Cambria" w:hAnsi="Cambria"/>
          <w:sz w:val="28"/>
          <w:szCs w:val="28"/>
        </w:rPr>
        <w:t>PhD.,</w:t>
      </w:r>
      <w:r w:rsidRPr="004344A7">
        <w:rPr>
          <w:rFonts w:ascii="Cambria" w:hAnsi="Cambria"/>
          <w:sz w:val="28"/>
          <w:szCs w:val="28"/>
        </w:rPr>
        <w:t xml:space="preserve"> g</w:t>
      </w:r>
      <w:r w:rsidRPr="00F0732E">
        <w:rPr>
          <w:rFonts w:ascii="Cambria" w:hAnsi="Cambria"/>
          <w:sz w:val="28"/>
          <w:szCs w:val="28"/>
        </w:rPr>
        <w:t xml:space="preserve">enerálny riaditeľ VÚJE, a. s., hospodárska oblasť </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(5. 5. 2009 – 5. 5. 2015)</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 xml:space="preserve">doc. Ing. Peter MIHÓK, CSc., predseda Slovenskej obchodnej a priemyselnej komory, hospodárska oblasť </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(5. 5. 2009 – 5. 5. 2015)</w:t>
      </w:r>
    </w:p>
    <w:p w:rsidR="00B51749" w:rsidRPr="00F0732E" w:rsidRDefault="00B51749" w:rsidP="00B51749">
      <w:pPr>
        <w:pStyle w:val="Bezriadkovania"/>
        <w:rPr>
          <w:rFonts w:ascii="Cambria" w:hAnsi="Cambria"/>
          <w:sz w:val="28"/>
          <w:szCs w:val="28"/>
        </w:rPr>
      </w:pPr>
    </w:p>
    <w:p w:rsidR="00B51749" w:rsidRPr="00F0732E" w:rsidRDefault="00B51749" w:rsidP="00B51749">
      <w:pPr>
        <w:pStyle w:val="Bezriadkovania"/>
        <w:rPr>
          <w:rFonts w:ascii="Cambria" w:hAnsi="Cambria"/>
          <w:sz w:val="28"/>
          <w:szCs w:val="28"/>
        </w:rPr>
      </w:pPr>
    </w:p>
    <w:p w:rsidR="00B51749" w:rsidRPr="00F0732E" w:rsidRDefault="00B51749" w:rsidP="00B51749">
      <w:pPr>
        <w:pStyle w:val="Bezriadkovania"/>
        <w:rPr>
          <w:rFonts w:ascii="Cambria" w:hAnsi="Cambria"/>
          <w:sz w:val="28"/>
          <w:szCs w:val="28"/>
          <w:u w:val="single"/>
        </w:rPr>
      </w:pPr>
      <w:r w:rsidRPr="00F0732E">
        <w:rPr>
          <w:rFonts w:ascii="Cambria" w:hAnsi="Cambria"/>
          <w:sz w:val="28"/>
          <w:szCs w:val="28"/>
          <w:u w:val="single"/>
        </w:rPr>
        <w:t>Členovia Správnej rady navrhnutí rektorom vysokej školy:</w:t>
      </w:r>
    </w:p>
    <w:p w:rsidR="00B51749" w:rsidRPr="00F0732E" w:rsidRDefault="00B51749" w:rsidP="00B51749">
      <w:pPr>
        <w:pStyle w:val="Bezriadkovania"/>
        <w:rPr>
          <w:rFonts w:ascii="Cambria" w:hAnsi="Cambria"/>
          <w:b/>
          <w:sz w:val="28"/>
          <w:szCs w:val="28"/>
        </w:rPr>
      </w:pPr>
      <w:r w:rsidRPr="00F0732E">
        <w:rPr>
          <w:rFonts w:ascii="Cambria" w:hAnsi="Cambria"/>
          <w:b/>
          <w:sz w:val="28"/>
          <w:szCs w:val="28"/>
        </w:rPr>
        <w:t>PREDSEDA</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doc. RNDr. Milan FTÁČNIK, CSc., primátor mesta Bratislavy (5. 5. 2011 – 5. 5. 2017)</w:t>
      </w:r>
    </w:p>
    <w:p w:rsidR="00B51749" w:rsidRPr="00F0732E" w:rsidRDefault="00B51749" w:rsidP="00B51749">
      <w:pPr>
        <w:pStyle w:val="Bezriadkovania"/>
        <w:rPr>
          <w:rFonts w:ascii="Cambria" w:hAnsi="Cambria"/>
          <w:b/>
          <w:sz w:val="28"/>
          <w:szCs w:val="28"/>
        </w:rPr>
      </w:pPr>
      <w:r w:rsidRPr="00F0732E">
        <w:rPr>
          <w:rFonts w:ascii="Cambria" w:hAnsi="Cambria"/>
          <w:b/>
          <w:sz w:val="28"/>
          <w:szCs w:val="28"/>
        </w:rPr>
        <w:t>PODPREDSEDA</w:t>
      </w:r>
    </w:p>
    <w:p w:rsidR="00B51749" w:rsidRPr="00F0732E" w:rsidRDefault="00B51749" w:rsidP="00B51749">
      <w:pPr>
        <w:rPr>
          <w:sz w:val="28"/>
          <w:szCs w:val="28"/>
        </w:rPr>
      </w:pPr>
      <w:r w:rsidRPr="00F0732E">
        <w:rPr>
          <w:sz w:val="28"/>
          <w:szCs w:val="28"/>
        </w:rPr>
        <w:t xml:space="preserve">Ing. Jozef UHRÍK, CSc., Dr. h. c., Združenie automobilového priemyslu SR, hospodárska oblasť </w:t>
      </w:r>
    </w:p>
    <w:p w:rsidR="00B51749" w:rsidRPr="00F0732E" w:rsidRDefault="00B51749" w:rsidP="00B51749">
      <w:pPr>
        <w:rPr>
          <w:sz w:val="28"/>
          <w:szCs w:val="28"/>
        </w:rPr>
      </w:pPr>
      <w:r w:rsidRPr="00F0732E">
        <w:rPr>
          <w:sz w:val="28"/>
          <w:szCs w:val="28"/>
        </w:rPr>
        <w:t>(5. 5. 2009 – 5. 5. 2015)</w:t>
      </w:r>
    </w:p>
    <w:p w:rsidR="00B51749" w:rsidRPr="00F0732E" w:rsidRDefault="00B51749" w:rsidP="00B51749">
      <w:pPr>
        <w:rPr>
          <w:sz w:val="28"/>
          <w:szCs w:val="28"/>
        </w:rPr>
      </w:pPr>
      <w:r w:rsidRPr="00F0732E">
        <w:rPr>
          <w:sz w:val="28"/>
          <w:szCs w:val="28"/>
        </w:rPr>
        <w:t xml:space="preserve">Ing. Zsolt LUKÁČ, prezident Zväzu stavebných podnikateľov Slovenska </w:t>
      </w:r>
    </w:p>
    <w:p w:rsidR="00B51749" w:rsidRPr="00F0732E" w:rsidRDefault="00B51749" w:rsidP="00B51749">
      <w:pPr>
        <w:rPr>
          <w:sz w:val="28"/>
          <w:szCs w:val="28"/>
        </w:rPr>
      </w:pPr>
      <w:r w:rsidRPr="00F0732E">
        <w:rPr>
          <w:sz w:val="28"/>
          <w:szCs w:val="28"/>
        </w:rPr>
        <w:t>(5. 5. 2011 – 5. 5. 2017)</w:t>
      </w:r>
    </w:p>
    <w:p w:rsidR="00B51749" w:rsidRPr="00F0732E" w:rsidRDefault="00B51749" w:rsidP="00B51749">
      <w:pPr>
        <w:rPr>
          <w:sz w:val="28"/>
          <w:szCs w:val="28"/>
        </w:rPr>
      </w:pPr>
      <w:r w:rsidRPr="00F0732E">
        <w:rPr>
          <w:sz w:val="28"/>
          <w:szCs w:val="28"/>
        </w:rPr>
        <w:t xml:space="preserve">Ing. Vladimír SLEZÁK, generálny riaditeľ, Siemens, s. r. o. </w:t>
      </w:r>
    </w:p>
    <w:p w:rsidR="00B51749" w:rsidRPr="00F0732E" w:rsidRDefault="00B51749" w:rsidP="00B51749">
      <w:pPr>
        <w:rPr>
          <w:sz w:val="28"/>
          <w:szCs w:val="28"/>
        </w:rPr>
      </w:pPr>
      <w:r w:rsidRPr="00F0732E">
        <w:rPr>
          <w:sz w:val="28"/>
          <w:szCs w:val="28"/>
        </w:rPr>
        <w:t>(5. 5. 2011 – 5. 5. 2017)</w:t>
      </w:r>
    </w:p>
    <w:p w:rsidR="00B51749" w:rsidRPr="00F0732E" w:rsidRDefault="00B51749" w:rsidP="00B51749">
      <w:pPr>
        <w:rPr>
          <w:sz w:val="28"/>
          <w:szCs w:val="28"/>
        </w:rPr>
      </w:pPr>
      <w:r w:rsidRPr="00F0732E">
        <w:rPr>
          <w:sz w:val="28"/>
          <w:szCs w:val="28"/>
        </w:rPr>
        <w:t>Ing. Igor VIDA, prezident, Slovenská banková asociácia – nový člen</w:t>
      </w:r>
    </w:p>
    <w:p w:rsidR="00B51749" w:rsidRPr="00F0732E" w:rsidRDefault="00B51749" w:rsidP="00B51749">
      <w:pPr>
        <w:rPr>
          <w:sz w:val="28"/>
          <w:szCs w:val="28"/>
        </w:rPr>
      </w:pPr>
      <w:r w:rsidRPr="00F0732E">
        <w:rPr>
          <w:sz w:val="28"/>
          <w:szCs w:val="28"/>
        </w:rPr>
        <w:t>(17. 4. 2013 – 17. 4. 2019)</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Ing. arch. Juraj ŠUJAN, člen predstavenstva, Slovenská komora architektov – nový člen</w:t>
      </w:r>
    </w:p>
    <w:p w:rsidR="00B51749" w:rsidRPr="00F0732E" w:rsidRDefault="00B51749" w:rsidP="00B51749">
      <w:pPr>
        <w:pStyle w:val="Bezriadkovania"/>
        <w:rPr>
          <w:rFonts w:ascii="Cambria" w:hAnsi="Cambria"/>
          <w:sz w:val="28"/>
          <w:szCs w:val="28"/>
        </w:rPr>
      </w:pPr>
      <w:r w:rsidRPr="00F0732E">
        <w:rPr>
          <w:rFonts w:ascii="Cambria" w:hAnsi="Cambria"/>
          <w:sz w:val="28"/>
          <w:szCs w:val="28"/>
        </w:rPr>
        <w:t>(17.4.2013 – 17.4.2019)</w:t>
      </w:r>
    </w:p>
    <w:p w:rsidR="00B51749" w:rsidRPr="00F0732E" w:rsidRDefault="00B51749" w:rsidP="00B51749">
      <w:pPr>
        <w:rPr>
          <w:sz w:val="28"/>
          <w:szCs w:val="28"/>
        </w:rPr>
      </w:pPr>
      <w:r w:rsidRPr="00F0732E">
        <w:rPr>
          <w:sz w:val="28"/>
          <w:szCs w:val="28"/>
          <w:u w:val="single"/>
        </w:rPr>
        <w:t>Člen Správnej rady vymenovaný na návrh akademického senátu</w:t>
      </w:r>
      <w:r w:rsidRPr="00F0732E">
        <w:rPr>
          <w:sz w:val="28"/>
          <w:szCs w:val="28"/>
        </w:rPr>
        <w:t>:</w:t>
      </w:r>
    </w:p>
    <w:p w:rsidR="00B51749" w:rsidRPr="00F0732E" w:rsidRDefault="00B51749" w:rsidP="00B51749">
      <w:pPr>
        <w:rPr>
          <w:sz w:val="28"/>
          <w:szCs w:val="28"/>
        </w:rPr>
      </w:pPr>
      <w:r w:rsidRPr="00F0732E">
        <w:rPr>
          <w:sz w:val="28"/>
          <w:szCs w:val="28"/>
        </w:rPr>
        <w:t xml:space="preserve">doc. Ing. Jozef DICKÝ, PhD., Stavebná fakulta STU </w:t>
      </w:r>
    </w:p>
    <w:p w:rsidR="00B51749" w:rsidRPr="00F0732E" w:rsidRDefault="00B51749" w:rsidP="00B51749">
      <w:pPr>
        <w:rPr>
          <w:sz w:val="28"/>
          <w:szCs w:val="28"/>
        </w:rPr>
      </w:pPr>
      <w:r w:rsidRPr="00F0732E">
        <w:rPr>
          <w:sz w:val="28"/>
          <w:szCs w:val="28"/>
        </w:rPr>
        <w:t>(15. 11. 2011 – 15. 11. 2015)</w:t>
      </w:r>
    </w:p>
    <w:p w:rsidR="00B51749" w:rsidRPr="00F0732E" w:rsidRDefault="00B51749" w:rsidP="00B51749">
      <w:pPr>
        <w:rPr>
          <w:sz w:val="28"/>
          <w:szCs w:val="28"/>
          <w:u w:val="single"/>
        </w:rPr>
      </w:pPr>
      <w:r w:rsidRPr="00F0732E">
        <w:rPr>
          <w:sz w:val="28"/>
          <w:szCs w:val="28"/>
          <w:u w:val="single"/>
        </w:rPr>
        <w:t>Člen Správnej rady vymenovaný na návrh študentskej časti akademického senátu:</w:t>
      </w:r>
    </w:p>
    <w:p w:rsidR="00B51749" w:rsidRPr="00F0732E" w:rsidRDefault="00B51749" w:rsidP="00B51749">
      <w:pPr>
        <w:rPr>
          <w:sz w:val="28"/>
          <w:szCs w:val="28"/>
        </w:rPr>
      </w:pPr>
      <w:r w:rsidRPr="00F0732E">
        <w:rPr>
          <w:sz w:val="28"/>
          <w:szCs w:val="28"/>
        </w:rPr>
        <w:t xml:space="preserve">Ing. Michal ONDRUŠKA, Materiálovotechnologická fakulta STU </w:t>
      </w:r>
    </w:p>
    <w:p w:rsidR="00B51749" w:rsidRPr="00F0732E" w:rsidRDefault="00B51749" w:rsidP="00B51749">
      <w:pPr>
        <w:rPr>
          <w:sz w:val="28"/>
          <w:szCs w:val="28"/>
        </w:rPr>
      </w:pPr>
      <w:r w:rsidRPr="00F0732E">
        <w:rPr>
          <w:sz w:val="28"/>
          <w:szCs w:val="28"/>
        </w:rPr>
        <w:t>(28. 6. 2013 – 28.6. 2015)</w:t>
      </w:r>
    </w:p>
    <w:p w:rsidR="00B51749" w:rsidRPr="00F0732E" w:rsidRDefault="00B51749" w:rsidP="00B51749">
      <w:pPr>
        <w:rPr>
          <w:sz w:val="28"/>
          <w:szCs w:val="28"/>
        </w:rPr>
      </w:pPr>
      <w:r w:rsidRPr="00F0732E">
        <w:rPr>
          <w:sz w:val="28"/>
          <w:szCs w:val="28"/>
        </w:rPr>
        <w:br w:type="page"/>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2" w:name="_Toc413009305"/>
      <w:r w:rsidRPr="00F0732E">
        <w:rPr>
          <w:rFonts w:ascii="Cambria" w:hAnsi="Cambria"/>
          <w:color w:val="auto"/>
          <w:sz w:val="28"/>
          <w:szCs w:val="28"/>
        </w:rPr>
        <w:t>Prehľad najdôležitejších udalostí</w:t>
      </w:r>
      <w:bookmarkEnd w:id="2"/>
    </w:p>
    <w:p w:rsidR="00B51749" w:rsidRPr="00F0732E" w:rsidRDefault="00B51749" w:rsidP="00B51749">
      <w:pPr>
        <w:rPr>
          <w:color w:val="FF0000"/>
          <w:sz w:val="28"/>
          <w:szCs w:val="28"/>
        </w:rPr>
      </w:pPr>
    </w:p>
    <w:p w:rsidR="00B51749" w:rsidRPr="00F0732E" w:rsidRDefault="00B51749" w:rsidP="00B51749">
      <w:pPr>
        <w:shd w:val="clear" w:color="auto" w:fill="FFFFFF"/>
        <w:rPr>
          <w:rFonts w:cs="Calibri"/>
          <w:sz w:val="28"/>
          <w:szCs w:val="28"/>
        </w:rPr>
      </w:pPr>
      <w:r w:rsidRPr="00F0732E">
        <w:rPr>
          <w:sz w:val="28"/>
          <w:szCs w:val="28"/>
        </w:rPr>
        <w:t xml:space="preserve">Hlavnou činnosťou univerzity je vzdelávacia činnosť. </w:t>
      </w:r>
      <w:r w:rsidRPr="00F0732E">
        <w:rPr>
          <w:rFonts w:cs="Calibri"/>
          <w:sz w:val="28"/>
          <w:szCs w:val="28"/>
          <w:shd w:val="clear" w:color="auto" w:fill="FFFFFF"/>
        </w:rPr>
        <w:t xml:space="preserve">V akademickom roku 2013/2014 na STU úspešne </w:t>
      </w:r>
      <w:r w:rsidRPr="00F0732E">
        <w:rPr>
          <w:rFonts w:cs="Calibri"/>
          <w:b/>
          <w:sz w:val="28"/>
          <w:szCs w:val="28"/>
          <w:shd w:val="clear" w:color="auto" w:fill="FFFFFF"/>
        </w:rPr>
        <w:t>ukončilo štúdium 4 241 absolventov</w:t>
      </w:r>
      <w:r w:rsidRPr="00F0732E">
        <w:rPr>
          <w:rFonts w:cs="Calibri"/>
          <w:sz w:val="28"/>
          <w:szCs w:val="28"/>
          <w:shd w:val="clear" w:color="auto" w:fill="FFFFFF"/>
        </w:rPr>
        <w:t>, z toho na prvom stupni 1 939 absolventov, na druhom stupni 2 037 absolventov a na treťom stupni 265 absolventov</w:t>
      </w:r>
      <w:r w:rsidRPr="00F0732E">
        <w:rPr>
          <w:rFonts w:cs="Calibri"/>
          <w:sz w:val="28"/>
          <w:szCs w:val="28"/>
        </w:rPr>
        <w:t>.</w:t>
      </w:r>
    </w:p>
    <w:p w:rsidR="00B51749" w:rsidRPr="00F0732E" w:rsidRDefault="00B51749" w:rsidP="00B51749">
      <w:pPr>
        <w:shd w:val="clear" w:color="auto" w:fill="FFFFFF"/>
        <w:rPr>
          <w:rFonts w:cs="Calibri"/>
          <w:color w:val="FF0000"/>
          <w:sz w:val="28"/>
          <w:szCs w:val="28"/>
        </w:rPr>
      </w:pPr>
    </w:p>
    <w:p w:rsidR="00B51749" w:rsidRPr="00F0732E" w:rsidRDefault="00B51749" w:rsidP="00B51749">
      <w:pPr>
        <w:shd w:val="clear" w:color="auto" w:fill="FFFFFF"/>
        <w:rPr>
          <w:rFonts w:cs="Calibri"/>
          <w:b/>
          <w:sz w:val="28"/>
          <w:szCs w:val="28"/>
        </w:rPr>
      </w:pPr>
      <w:r w:rsidRPr="00F0732E">
        <w:rPr>
          <w:rFonts w:cs="Calibri"/>
          <w:sz w:val="28"/>
          <w:szCs w:val="28"/>
        </w:rPr>
        <w:t xml:space="preserve">Celkovo na STU </w:t>
      </w:r>
      <w:r w:rsidRPr="00F0732E">
        <w:rPr>
          <w:sz w:val="28"/>
          <w:szCs w:val="28"/>
        </w:rPr>
        <w:t>v</w:t>
      </w:r>
      <w:r w:rsidRPr="00F0732E">
        <w:rPr>
          <w:rFonts w:cs="Calibri"/>
          <w:sz w:val="28"/>
          <w:szCs w:val="28"/>
        </w:rPr>
        <w:t xml:space="preserve"> akademickom roku 2013/2014 študovalo </w:t>
      </w:r>
      <w:r w:rsidRPr="00F0732E">
        <w:rPr>
          <w:rFonts w:cs="Calibri"/>
          <w:b/>
          <w:sz w:val="28"/>
          <w:szCs w:val="28"/>
        </w:rPr>
        <w:t>16 402 študentov</w:t>
      </w:r>
      <w:r w:rsidRPr="00F0732E">
        <w:rPr>
          <w:rFonts w:cs="Calibri"/>
          <w:sz w:val="28"/>
          <w:szCs w:val="28"/>
        </w:rPr>
        <w:t xml:space="preserve">; 10 619 na prvom, 4 419 na druhom a 1 364 na treťom stupni. </w:t>
      </w:r>
      <w:r w:rsidRPr="00F0732E">
        <w:rPr>
          <w:b/>
          <w:sz w:val="28"/>
          <w:szCs w:val="28"/>
        </w:rPr>
        <w:t xml:space="preserve">Celkové počty študentov na dennej forme štúdia poklesli medziročne o 3,4 %. </w:t>
      </w:r>
      <w:r w:rsidRPr="00F0732E">
        <w:rPr>
          <w:sz w:val="28"/>
          <w:szCs w:val="28"/>
        </w:rPr>
        <w:t xml:space="preserve">Spôsobili to najmä demografické zmeny v populácii, ale aj zrušenie ponuky externého štúdia na univerzite. </w:t>
      </w:r>
    </w:p>
    <w:p w:rsidR="00B51749" w:rsidRPr="00F0732E" w:rsidRDefault="00B51749" w:rsidP="00B51749">
      <w:pPr>
        <w:pStyle w:val="Odsekzoznamu"/>
        <w:spacing w:after="0" w:line="240" w:lineRule="auto"/>
        <w:ind w:left="0" w:right="275"/>
        <w:rPr>
          <w:rFonts w:ascii="Cambria" w:hAnsi="Cambria" w:cs="Cambria"/>
          <w:sz w:val="28"/>
          <w:szCs w:val="28"/>
        </w:rPr>
      </w:pPr>
    </w:p>
    <w:p w:rsidR="00B51749" w:rsidRPr="00F0732E" w:rsidRDefault="00B51749" w:rsidP="00B51749">
      <w:pPr>
        <w:pStyle w:val="Odsekzoznamu"/>
        <w:spacing w:after="0" w:line="240" w:lineRule="auto"/>
        <w:ind w:left="0" w:right="275"/>
        <w:rPr>
          <w:rFonts w:ascii="Cambria" w:hAnsi="Cambria" w:cs="Cambria"/>
          <w:sz w:val="28"/>
          <w:szCs w:val="28"/>
        </w:rPr>
      </w:pPr>
      <w:r w:rsidRPr="00F0732E">
        <w:rPr>
          <w:rFonts w:ascii="Cambria" w:hAnsi="Cambria" w:cs="Cambria"/>
          <w:sz w:val="28"/>
          <w:szCs w:val="28"/>
        </w:rPr>
        <w:t xml:space="preserve">V prijímacom konaní 2014/2015 </w:t>
      </w:r>
      <w:r w:rsidRPr="00F0732E">
        <w:rPr>
          <w:rFonts w:ascii="Cambria" w:hAnsi="Cambria" w:cs="Cambria"/>
          <w:b/>
          <w:sz w:val="28"/>
          <w:szCs w:val="28"/>
        </w:rPr>
        <w:t>sa do prvých ročníkov celkovo zapísalo 6 817 nových študentov</w:t>
      </w:r>
      <w:r w:rsidRPr="00F0732E">
        <w:rPr>
          <w:rFonts w:ascii="Cambria" w:hAnsi="Cambria" w:cs="Cambria"/>
          <w:sz w:val="28"/>
          <w:szCs w:val="28"/>
        </w:rPr>
        <w:t xml:space="preserve"> (na prvom stupni štúdia 4 473 študentov; 2 084 študentov na druhom stupni štúdia a na treťom stupni štúdia 260 študentov. </w:t>
      </w:r>
      <w:r w:rsidRPr="00F0732E">
        <w:rPr>
          <w:rFonts w:ascii="Cambria" w:hAnsi="Cambria" w:cs="Cambria"/>
          <w:b/>
          <w:sz w:val="28"/>
          <w:szCs w:val="28"/>
        </w:rPr>
        <w:t>Oproti predošlému akademickému roku to znamená pokles o 12 % na prvom stupni štúdia</w:t>
      </w:r>
      <w:r w:rsidRPr="00F0732E">
        <w:rPr>
          <w:rFonts w:ascii="Cambria" w:hAnsi="Cambria" w:cs="Cambria"/>
          <w:sz w:val="28"/>
          <w:szCs w:val="28"/>
        </w:rPr>
        <w:t xml:space="preserve">, pokles o 3,2 % na druhom stupni a pokles o 13,3 % na treťom stupni štúdia. </w:t>
      </w:r>
    </w:p>
    <w:p w:rsidR="00B51749" w:rsidRPr="00F0732E" w:rsidRDefault="00B51749" w:rsidP="00B51749">
      <w:pPr>
        <w:pStyle w:val="Odsekzoznamu"/>
        <w:spacing w:after="0" w:line="240" w:lineRule="auto"/>
        <w:ind w:left="0" w:right="275"/>
        <w:rPr>
          <w:rFonts w:ascii="Cambria" w:hAnsi="Cambria" w:cs="Cambria"/>
          <w:sz w:val="28"/>
          <w:szCs w:val="28"/>
        </w:rPr>
      </w:pPr>
      <w:r w:rsidRPr="00F0732E">
        <w:rPr>
          <w:rFonts w:ascii="Cambria" w:hAnsi="Cambria" w:cs="Cambria"/>
          <w:sz w:val="28"/>
          <w:szCs w:val="28"/>
        </w:rPr>
        <w:t>Pokles na prvom stupni štúdia je spôsobený hlavne výrazným poklesom maturantov SR až o 10,8 % oproti minulému roku. Pokles na treťom stupni štúdia v dennej forme vyplýva hlavne zo zmeneného modelu financovania od ak. roku 2011/2012, odkedy si počty študentov určujú samotné fakulty.</w:t>
      </w:r>
    </w:p>
    <w:p w:rsidR="00B51749" w:rsidRPr="00F0732E" w:rsidRDefault="00B51749" w:rsidP="00B51749">
      <w:pPr>
        <w:rPr>
          <w:rFonts w:cs="Calibri"/>
          <w:sz w:val="28"/>
          <w:szCs w:val="28"/>
        </w:rPr>
      </w:pPr>
      <w:r w:rsidRPr="00F0732E">
        <w:rPr>
          <w:rFonts w:cs="Calibri"/>
          <w:b/>
          <w:sz w:val="28"/>
          <w:szCs w:val="28"/>
        </w:rPr>
        <w:t>Percento zapísaných študentov na STU z celkového počtu maturantov v SR je však dlhodobo stabilné</w:t>
      </w:r>
      <w:r w:rsidRPr="00F0732E">
        <w:rPr>
          <w:rFonts w:cs="Calibri"/>
          <w:sz w:val="28"/>
          <w:szCs w:val="28"/>
        </w:rPr>
        <w:t xml:space="preserve"> (6</w:t>
      </w:r>
      <w:r w:rsidR="0088538C">
        <w:rPr>
          <w:rFonts w:cs="Calibri"/>
          <w:sz w:val="28"/>
          <w:szCs w:val="28"/>
        </w:rPr>
        <w:t xml:space="preserve"> </w:t>
      </w:r>
      <w:r w:rsidRPr="00F0732E">
        <w:rPr>
          <w:rFonts w:cs="Calibri"/>
          <w:sz w:val="28"/>
          <w:szCs w:val="28"/>
        </w:rPr>
        <w:t xml:space="preserve">%), </w:t>
      </w:r>
      <w:r w:rsidRPr="00F0732E">
        <w:rPr>
          <w:rFonts w:cs="Calibri"/>
          <w:b/>
          <w:sz w:val="28"/>
          <w:szCs w:val="28"/>
        </w:rPr>
        <w:t>a to aj napriek faktu, že počet maturantov v Slovenskej republike neustále klesá</w:t>
      </w:r>
      <w:r w:rsidRPr="00F0732E">
        <w:rPr>
          <w:rFonts w:cs="Calibri"/>
          <w:sz w:val="28"/>
          <w:szCs w:val="28"/>
        </w:rPr>
        <w:t xml:space="preserve"> (pokles viac ako 22</w:t>
      </w:r>
      <w:r w:rsidR="00542541">
        <w:rPr>
          <w:rFonts w:cs="Calibri"/>
          <w:sz w:val="28"/>
          <w:szCs w:val="28"/>
        </w:rPr>
        <w:t xml:space="preserve"> </w:t>
      </w:r>
      <w:r w:rsidRPr="00F0732E">
        <w:rPr>
          <w:rFonts w:cs="Calibri"/>
          <w:sz w:val="28"/>
          <w:szCs w:val="28"/>
        </w:rPr>
        <w:t>% za posledných 5 rokov).</w:t>
      </w:r>
    </w:p>
    <w:p w:rsidR="00B51749" w:rsidRPr="00F0732E" w:rsidRDefault="00B51749" w:rsidP="00B51749">
      <w:pPr>
        <w:rPr>
          <w:b/>
          <w:color w:val="FF0000"/>
          <w:sz w:val="28"/>
          <w:szCs w:val="28"/>
        </w:rPr>
      </w:pPr>
    </w:p>
    <w:p w:rsidR="00B51749" w:rsidRPr="00F0732E" w:rsidRDefault="00B51749" w:rsidP="00B51749">
      <w:pPr>
        <w:shd w:val="clear" w:color="auto" w:fill="FFFFFF"/>
        <w:rPr>
          <w:sz w:val="28"/>
          <w:szCs w:val="28"/>
        </w:rPr>
      </w:pPr>
      <w:r w:rsidRPr="00F0732E">
        <w:rPr>
          <w:sz w:val="28"/>
          <w:szCs w:val="28"/>
        </w:rPr>
        <w:t>Vzdelávanie na STU stojí na vlastnom vede</w:t>
      </w:r>
      <w:r w:rsidR="00BE4256">
        <w:rPr>
          <w:sz w:val="28"/>
          <w:szCs w:val="28"/>
        </w:rPr>
        <w:t>c</w:t>
      </w:r>
      <w:r w:rsidRPr="00F0732E">
        <w:rPr>
          <w:sz w:val="28"/>
          <w:szCs w:val="28"/>
        </w:rPr>
        <w:t xml:space="preserve">kom výskume a na spolupráci s praxou. Kvalitu vzdelávania a prínosy tohto prístupu potvrdzujú mnohé ocenenia študentov STU. Tí získali spolu takmer 200 ocenení na medzinárodných a domácich súťažiach. </w:t>
      </w:r>
      <w:r w:rsidRPr="00AC689B">
        <w:rPr>
          <w:sz w:val="28"/>
          <w:szCs w:val="28"/>
        </w:rPr>
        <w:t>Viaceré</w:t>
      </w:r>
      <w:r w:rsidR="00156AFA" w:rsidRPr="00AC689B">
        <w:rPr>
          <w:sz w:val="28"/>
          <w:szCs w:val="28"/>
        </w:rPr>
        <w:t xml:space="preserve"> </w:t>
      </w:r>
      <w:r w:rsidR="00AC689B" w:rsidRPr="00AC689B">
        <w:rPr>
          <w:sz w:val="28"/>
          <w:szCs w:val="28"/>
        </w:rPr>
        <w:t>ocenené projekty</w:t>
      </w:r>
      <w:r w:rsidR="00156AFA">
        <w:rPr>
          <w:sz w:val="28"/>
          <w:szCs w:val="28"/>
        </w:rPr>
        <w:t xml:space="preserve"> </w:t>
      </w:r>
      <w:r w:rsidRPr="00F0732E">
        <w:rPr>
          <w:sz w:val="28"/>
          <w:szCs w:val="28"/>
        </w:rPr>
        <w:t>pritom premieňajú do start-upov a spolu s partnermi z praxe študenti svoje projekty aj realizujú.</w:t>
      </w:r>
    </w:p>
    <w:p w:rsidR="00B51749" w:rsidRPr="00F0732E" w:rsidRDefault="00B51749" w:rsidP="00B51749">
      <w:pPr>
        <w:shd w:val="clear" w:color="auto" w:fill="FFFFFF"/>
        <w:rPr>
          <w:sz w:val="28"/>
          <w:szCs w:val="28"/>
        </w:rPr>
      </w:pPr>
      <w:r w:rsidRPr="00F0732E">
        <w:rPr>
          <w:sz w:val="28"/>
          <w:szCs w:val="28"/>
        </w:rPr>
        <w:t xml:space="preserve">Medzi </w:t>
      </w:r>
      <w:r w:rsidRPr="00F0732E">
        <w:rPr>
          <w:b/>
          <w:sz w:val="28"/>
          <w:szCs w:val="28"/>
        </w:rPr>
        <w:t>najvýznamnejšie ocenenia študentov</w:t>
      </w:r>
      <w:r w:rsidRPr="00F0732E">
        <w:rPr>
          <w:sz w:val="28"/>
          <w:szCs w:val="28"/>
        </w:rPr>
        <w:t xml:space="preserve"> patrí:</w:t>
      </w:r>
    </w:p>
    <w:p w:rsidR="00B51749" w:rsidRPr="00F0732E" w:rsidRDefault="00B51749" w:rsidP="00B51749">
      <w:pPr>
        <w:numPr>
          <w:ilvl w:val="0"/>
          <w:numId w:val="7"/>
        </w:numPr>
        <w:shd w:val="clear" w:color="auto" w:fill="FFFFFF"/>
        <w:rPr>
          <w:sz w:val="28"/>
          <w:szCs w:val="28"/>
        </w:rPr>
      </w:pPr>
      <w:r w:rsidRPr="00F0732E">
        <w:rPr>
          <w:sz w:val="28"/>
          <w:szCs w:val="28"/>
        </w:rPr>
        <w:t xml:space="preserve">Víťazstvo študentov Fakulty informatiky a informačných technológií STU v medzinárodnej súťaži </w:t>
      </w:r>
      <w:r w:rsidRPr="00F0732E">
        <w:rPr>
          <w:b/>
          <w:sz w:val="28"/>
          <w:szCs w:val="28"/>
        </w:rPr>
        <w:t xml:space="preserve">Imagine Cup 2014 v kategóriách </w:t>
      </w:r>
      <w:r w:rsidRPr="00F0732E">
        <w:rPr>
          <w:rFonts w:cs="Arial"/>
          <w:sz w:val="28"/>
          <w:szCs w:val="28"/>
          <w:shd w:val="clear" w:color="auto" w:fill="FFFFFF"/>
        </w:rPr>
        <w:lastRenderedPageBreak/>
        <w:t>Imagine Cup Blueprint Challenge a UX Challenge, kde sa v prvej hodnotí podnikateľský potenciál a využitie v praxi, v druhej ide o technické spracovanie. Študenti vyvíjali systém 3D skenovania priestoru.</w:t>
      </w:r>
    </w:p>
    <w:p w:rsidR="00B51749" w:rsidRPr="00F0732E" w:rsidRDefault="00B51749" w:rsidP="00B51749">
      <w:pPr>
        <w:numPr>
          <w:ilvl w:val="0"/>
          <w:numId w:val="7"/>
        </w:numPr>
        <w:shd w:val="clear" w:color="auto" w:fill="FFFFFF"/>
        <w:rPr>
          <w:sz w:val="28"/>
          <w:szCs w:val="28"/>
        </w:rPr>
      </w:pPr>
      <w:r w:rsidRPr="00F0732E">
        <w:rPr>
          <w:sz w:val="28"/>
          <w:szCs w:val="28"/>
        </w:rPr>
        <w:t xml:space="preserve">Študenti Fakulty elektrotechniky a informatiky STU získali 1. miesto v európskom finále súťaže v riadení inteligentných áut </w:t>
      </w:r>
      <w:r w:rsidRPr="00F0732E">
        <w:rPr>
          <w:b/>
          <w:sz w:val="28"/>
          <w:szCs w:val="28"/>
        </w:rPr>
        <w:t>Freescale Cup 2013</w:t>
      </w:r>
      <w:r w:rsidRPr="00F0732E">
        <w:rPr>
          <w:sz w:val="28"/>
          <w:szCs w:val="28"/>
        </w:rPr>
        <w:t xml:space="preserve"> a 1. miesto v medzinárodnej súťaži </w:t>
      </w:r>
      <w:r w:rsidRPr="006D127C">
        <w:rPr>
          <w:b/>
          <w:sz w:val="28"/>
          <w:szCs w:val="28"/>
        </w:rPr>
        <w:t>Robotic Tournament</w:t>
      </w:r>
      <w:r w:rsidRPr="00F0732E">
        <w:rPr>
          <w:sz w:val="28"/>
          <w:szCs w:val="28"/>
        </w:rPr>
        <w:t>.</w:t>
      </w:r>
    </w:p>
    <w:p w:rsidR="00B51749" w:rsidRPr="00F0732E" w:rsidRDefault="00B51749" w:rsidP="00B51749">
      <w:pPr>
        <w:numPr>
          <w:ilvl w:val="0"/>
          <w:numId w:val="7"/>
        </w:numPr>
        <w:shd w:val="clear" w:color="auto" w:fill="FFFFFF"/>
        <w:rPr>
          <w:sz w:val="28"/>
          <w:szCs w:val="28"/>
        </w:rPr>
      </w:pPr>
      <w:r w:rsidRPr="00F0732E">
        <w:rPr>
          <w:sz w:val="28"/>
          <w:szCs w:val="28"/>
        </w:rPr>
        <w:t>Študenti Ústavu dizajnu Fakulty architektúry STU uspeli v </w:t>
      </w:r>
      <w:r w:rsidRPr="00F0732E">
        <w:rPr>
          <w:b/>
          <w:sz w:val="28"/>
          <w:szCs w:val="28"/>
        </w:rPr>
        <w:t>medzinárodnej súťaži o návrh olympijskej medaily</w:t>
      </w:r>
      <w:r w:rsidRPr="00F0732E">
        <w:rPr>
          <w:sz w:val="28"/>
          <w:szCs w:val="28"/>
        </w:rPr>
        <w:t xml:space="preserve"> pre mládežnícke olympijské hry v </w:t>
      </w:r>
      <w:r w:rsidRPr="00F0732E">
        <w:rPr>
          <w:rFonts w:cs="Arial"/>
          <w:sz w:val="28"/>
          <w:szCs w:val="28"/>
          <w:shd w:val="clear" w:color="auto" w:fill="FFFFFF"/>
        </w:rPr>
        <w:t>čínskom Nanjingu</w:t>
      </w:r>
      <w:r w:rsidRPr="00F0732E">
        <w:rPr>
          <w:sz w:val="28"/>
          <w:szCs w:val="28"/>
        </w:rPr>
        <w:t>.</w:t>
      </w:r>
      <w:r w:rsidRPr="00F0732E">
        <w:rPr>
          <w:rFonts w:cs="Arial"/>
          <w:sz w:val="28"/>
          <w:szCs w:val="28"/>
          <w:shd w:val="clear" w:color="auto" w:fill="FFFFFF"/>
        </w:rPr>
        <w:t xml:space="preserve"> Medzinárodný olympijský výbor vybral ako najlepší </w:t>
      </w:r>
      <w:r w:rsidR="00FD7BE8">
        <w:rPr>
          <w:rFonts w:cs="Arial"/>
          <w:sz w:val="28"/>
          <w:szCs w:val="28"/>
          <w:shd w:val="clear" w:color="auto" w:fill="FFFFFF"/>
        </w:rPr>
        <w:t xml:space="preserve">– </w:t>
      </w:r>
      <w:r w:rsidRPr="00F0732E">
        <w:rPr>
          <w:rFonts w:cs="Arial"/>
          <w:sz w:val="28"/>
          <w:szCs w:val="28"/>
          <w:shd w:val="clear" w:color="auto" w:fill="FFFFFF"/>
        </w:rPr>
        <w:t>návrh medaily študenta Mateja Čičku. Tretie miesto v súťaži, kde porota hodnotila viac ako 300 návrhov z 50 krajín, získal Csaba Szitas, tiež študent STU.</w:t>
      </w:r>
    </w:p>
    <w:p w:rsidR="00B51749" w:rsidRPr="00F0732E" w:rsidRDefault="00B51749" w:rsidP="00B51749">
      <w:pPr>
        <w:numPr>
          <w:ilvl w:val="0"/>
          <w:numId w:val="7"/>
        </w:numPr>
        <w:shd w:val="clear" w:color="auto" w:fill="FFFFFF"/>
        <w:rPr>
          <w:sz w:val="28"/>
          <w:szCs w:val="28"/>
        </w:rPr>
      </w:pPr>
      <w:r w:rsidRPr="00F0732E">
        <w:rPr>
          <w:rFonts w:eastAsia="Times New Roman" w:cs="Arial"/>
          <w:sz w:val="28"/>
          <w:szCs w:val="28"/>
          <w:lang w:eastAsia="sk-SK"/>
        </w:rPr>
        <w:t xml:space="preserve">Zlatú medailu z medzinárodnej súťaže </w:t>
      </w:r>
      <w:r w:rsidRPr="00F0732E">
        <w:rPr>
          <w:rFonts w:eastAsia="Times New Roman" w:cs="Arial"/>
          <w:b/>
          <w:sz w:val="28"/>
          <w:szCs w:val="28"/>
          <w:lang w:eastAsia="sk-SK"/>
        </w:rPr>
        <w:t>Robotchallenge vo Viedni</w:t>
      </w:r>
      <w:r w:rsidRPr="00F0732E">
        <w:rPr>
          <w:rFonts w:eastAsia="Times New Roman" w:cs="Arial"/>
          <w:sz w:val="28"/>
          <w:szCs w:val="28"/>
          <w:lang w:eastAsia="sk-SK"/>
        </w:rPr>
        <w:t xml:space="preserve"> </w:t>
      </w:r>
      <w:r w:rsidR="00FD7BE8">
        <w:rPr>
          <w:rFonts w:eastAsia="Times New Roman" w:cs="Arial"/>
          <w:sz w:val="28"/>
          <w:szCs w:val="28"/>
          <w:lang w:eastAsia="sk-SK"/>
        </w:rPr>
        <w:t xml:space="preserve">si </w:t>
      </w:r>
      <w:r w:rsidRPr="00F0732E">
        <w:rPr>
          <w:rFonts w:eastAsia="Times New Roman" w:cs="Arial"/>
          <w:sz w:val="28"/>
          <w:szCs w:val="28"/>
          <w:lang w:eastAsia="sk-SK"/>
        </w:rPr>
        <w:t xml:space="preserve">odniesli </w:t>
      </w:r>
      <w:r w:rsidRPr="00F0732E">
        <w:rPr>
          <w:rFonts w:cs="Arial"/>
          <w:color w:val="000000"/>
          <w:sz w:val="28"/>
          <w:szCs w:val="28"/>
          <w:shd w:val="clear" w:color="auto" w:fill="FFFFFF"/>
        </w:rPr>
        <w:t>študenti</w:t>
      </w:r>
      <w:r w:rsidRPr="00F0732E">
        <w:rPr>
          <w:rStyle w:val="apple-converted-space"/>
          <w:rFonts w:cs="Arial"/>
          <w:color w:val="000000"/>
          <w:sz w:val="28"/>
          <w:szCs w:val="28"/>
          <w:shd w:val="clear" w:color="auto" w:fill="FFFFFF"/>
        </w:rPr>
        <w:t> </w:t>
      </w:r>
      <w:r w:rsidRPr="00F0732E">
        <w:rPr>
          <w:rFonts w:cs="Arial"/>
          <w:iCs/>
          <w:color w:val="000000"/>
          <w:sz w:val="28"/>
          <w:szCs w:val="28"/>
          <w:shd w:val="clear" w:color="auto" w:fill="FFFFFF"/>
        </w:rPr>
        <w:t>Ján Maláč, Jozef Škultéty, Michal Beňo a Peter Mihál</w:t>
      </w:r>
      <w:r w:rsidRPr="00F0732E">
        <w:rPr>
          <w:rStyle w:val="apple-converted-space"/>
          <w:rFonts w:cs="Arial"/>
          <w:color w:val="000000"/>
          <w:sz w:val="28"/>
          <w:szCs w:val="28"/>
          <w:shd w:val="clear" w:color="auto" w:fill="FFFFFF"/>
        </w:rPr>
        <w:t> </w:t>
      </w:r>
      <w:r w:rsidRPr="00F0732E">
        <w:rPr>
          <w:rFonts w:cs="Arial"/>
          <w:color w:val="000000"/>
          <w:sz w:val="28"/>
          <w:szCs w:val="28"/>
          <w:shd w:val="clear" w:color="auto" w:fill="FFFFFF"/>
        </w:rPr>
        <w:t>so svojim robotom</w:t>
      </w:r>
      <w:r w:rsidRPr="00F0732E">
        <w:rPr>
          <w:rStyle w:val="apple-converted-space"/>
          <w:rFonts w:cs="Arial"/>
          <w:color w:val="000000"/>
          <w:sz w:val="28"/>
          <w:szCs w:val="28"/>
          <w:shd w:val="clear" w:color="auto" w:fill="FFFFFF"/>
        </w:rPr>
        <w:t> </w:t>
      </w:r>
      <w:r w:rsidRPr="00F0732E">
        <w:rPr>
          <w:rFonts w:cs="Arial"/>
          <w:bCs/>
          <w:color w:val="000000"/>
          <w:sz w:val="28"/>
          <w:szCs w:val="28"/>
          <w:shd w:val="clear" w:color="auto" w:fill="FFFFFF"/>
        </w:rPr>
        <w:t>J2MP.</w:t>
      </w:r>
    </w:p>
    <w:p w:rsidR="00B51749" w:rsidRPr="00F0732E" w:rsidRDefault="00B51749" w:rsidP="00B51749">
      <w:pPr>
        <w:shd w:val="clear" w:color="auto" w:fill="FFFFFF"/>
        <w:ind w:left="360"/>
        <w:rPr>
          <w:b/>
          <w:color w:val="FF0000"/>
          <w:sz w:val="28"/>
          <w:szCs w:val="28"/>
        </w:rPr>
      </w:pPr>
    </w:p>
    <w:p w:rsidR="00B51749" w:rsidRPr="00F0732E" w:rsidRDefault="00B51749" w:rsidP="00B51749">
      <w:pPr>
        <w:pStyle w:val="Zkladntext"/>
        <w:spacing w:line="240" w:lineRule="auto"/>
        <w:ind w:right="-2"/>
        <w:rPr>
          <w:rFonts w:ascii="Cambria" w:hAnsi="Cambria"/>
          <w:color w:val="auto"/>
          <w:sz w:val="28"/>
          <w:szCs w:val="28"/>
        </w:rPr>
      </w:pPr>
      <w:r w:rsidRPr="00F0732E">
        <w:rPr>
          <w:rFonts w:ascii="Cambria" w:hAnsi="Cambria"/>
          <w:b/>
          <w:color w:val="auto"/>
          <w:sz w:val="28"/>
          <w:szCs w:val="28"/>
        </w:rPr>
        <w:t>Stúpa počet mobilít študentov na STU</w:t>
      </w:r>
      <w:r w:rsidRPr="00F0732E">
        <w:rPr>
          <w:rFonts w:ascii="Cambria" w:hAnsi="Cambria"/>
          <w:color w:val="auto"/>
          <w:sz w:val="28"/>
          <w:szCs w:val="28"/>
        </w:rPr>
        <w:t xml:space="preserve">, a to najmä v programe </w:t>
      </w:r>
      <w:r w:rsidRPr="00236CCD">
        <w:rPr>
          <w:rFonts w:asciiTheme="majorHAnsi" w:hAnsiTheme="majorHAnsi"/>
          <w:color w:val="auto"/>
          <w:sz w:val="28"/>
          <w:szCs w:val="28"/>
        </w:rPr>
        <w:t xml:space="preserve">Erasmus. </w:t>
      </w:r>
      <w:r w:rsidR="00236CCD" w:rsidRPr="00236CCD">
        <w:rPr>
          <w:rFonts w:asciiTheme="majorHAnsi" w:hAnsiTheme="majorHAnsi"/>
          <w:color w:val="auto"/>
          <w:sz w:val="28"/>
          <w:szCs w:val="28"/>
        </w:rPr>
        <w:t xml:space="preserve">V hodnotenom roku STU cez tento program </w:t>
      </w:r>
      <w:r w:rsidR="00236CCD" w:rsidRPr="00236CCD">
        <w:rPr>
          <w:rFonts w:asciiTheme="majorHAnsi" w:hAnsiTheme="majorHAnsi"/>
          <w:b/>
          <w:color w:val="auto"/>
          <w:sz w:val="28"/>
          <w:szCs w:val="28"/>
        </w:rPr>
        <w:t>vyslala 230 študentov a prijala 89</w:t>
      </w:r>
      <w:r w:rsidR="00236CCD" w:rsidRPr="00236CCD">
        <w:rPr>
          <w:rFonts w:asciiTheme="majorHAnsi" w:hAnsiTheme="majorHAnsi"/>
          <w:color w:val="auto"/>
          <w:sz w:val="28"/>
          <w:szCs w:val="28"/>
        </w:rPr>
        <w:t xml:space="preserve"> zahraničných študentov</w:t>
      </w:r>
      <w:r w:rsidRPr="00236CCD">
        <w:rPr>
          <w:rFonts w:asciiTheme="majorHAnsi" w:hAnsiTheme="majorHAnsi"/>
          <w:color w:val="auto"/>
          <w:sz w:val="28"/>
          <w:szCs w:val="28"/>
        </w:rPr>
        <w:t xml:space="preserve">. </w:t>
      </w:r>
      <w:r w:rsidR="00236CCD">
        <w:rPr>
          <w:rFonts w:asciiTheme="majorHAnsi" w:hAnsiTheme="majorHAnsi"/>
          <w:color w:val="auto"/>
          <w:sz w:val="28"/>
          <w:szCs w:val="28"/>
        </w:rPr>
        <w:t xml:space="preserve"> </w:t>
      </w:r>
      <w:r w:rsidRPr="00236CCD">
        <w:rPr>
          <w:rFonts w:asciiTheme="majorHAnsi" w:hAnsiTheme="majorHAnsi"/>
          <w:color w:val="auto"/>
          <w:sz w:val="28"/>
          <w:szCs w:val="28"/>
        </w:rPr>
        <w:t>Záujmom univerzity je, aby mo</w:t>
      </w:r>
      <w:r w:rsidRPr="00F0732E">
        <w:rPr>
          <w:rFonts w:ascii="Cambria" w:hAnsi="Cambria"/>
          <w:color w:val="auto"/>
          <w:sz w:val="28"/>
          <w:szCs w:val="28"/>
        </w:rPr>
        <w:t xml:space="preserve">bility ďalej rástli a snaží sa ich študentom uľahčiť aj prostredníctvom medzinárodných aktivít v oblasti vzdelávania. STU získala v roku 2012 ECTS label a v roku 2013 DS label. Obe označenia udeľuje Európska komisia. </w:t>
      </w:r>
    </w:p>
    <w:p w:rsidR="00B51749" w:rsidRPr="00F0732E" w:rsidRDefault="00B51749" w:rsidP="00B51749">
      <w:pPr>
        <w:rPr>
          <w:sz w:val="28"/>
          <w:szCs w:val="28"/>
        </w:rPr>
      </w:pPr>
      <w:r w:rsidRPr="00F0732E">
        <w:rPr>
          <w:sz w:val="28"/>
          <w:szCs w:val="28"/>
        </w:rPr>
        <w:t xml:space="preserve">ECTS label potvrdzuje, že všetky študijné programy na STU, všetky skúšky a kredity sú v súlade s európskym kreditovým systémom. </w:t>
      </w:r>
    </w:p>
    <w:p w:rsidR="00B51749" w:rsidRPr="00F0732E" w:rsidRDefault="00B51749" w:rsidP="00B51749">
      <w:pPr>
        <w:rPr>
          <w:sz w:val="28"/>
          <w:szCs w:val="28"/>
        </w:rPr>
      </w:pPr>
      <w:r w:rsidRPr="00F0732E">
        <w:rPr>
          <w:sz w:val="28"/>
          <w:szCs w:val="28"/>
        </w:rPr>
        <w:t xml:space="preserve">DS label je znakom, že v súlade s európskymi požiadavkami je </w:t>
      </w:r>
      <w:r w:rsidR="00FD7BE8">
        <w:rPr>
          <w:sz w:val="28"/>
          <w:szCs w:val="28"/>
        </w:rPr>
        <w:t>aj</w:t>
      </w:r>
      <w:r w:rsidRPr="00F0732E">
        <w:rPr>
          <w:sz w:val="28"/>
          <w:szCs w:val="28"/>
        </w:rPr>
        <w:t xml:space="preserve"> doplnok k diplomu, ktorý vydáva STU bezplatne všetkým absolventom bakalárskych, magisterských, inžinierskych a doktorandských študijných programov.  </w:t>
      </w:r>
    </w:p>
    <w:p w:rsidR="00B51749" w:rsidRPr="00F0732E" w:rsidRDefault="00B51749" w:rsidP="00B51749">
      <w:pPr>
        <w:shd w:val="clear" w:color="auto" w:fill="FFFFFF"/>
        <w:rPr>
          <w:rStyle w:val="Siln"/>
          <w:color w:val="FF0000"/>
          <w:sz w:val="28"/>
          <w:szCs w:val="28"/>
        </w:rPr>
      </w:pPr>
    </w:p>
    <w:p w:rsidR="00B51749" w:rsidRPr="00F0732E" w:rsidRDefault="00B51749" w:rsidP="00B51749">
      <w:pPr>
        <w:rPr>
          <w:b/>
          <w:sz w:val="28"/>
          <w:szCs w:val="28"/>
        </w:rPr>
      </w:pPr>
      <w:r w:rsidRPr="00F0732E">
        <w:rPr>
          <w:rStyle w:val="Siln"/>
          <w:b w:val="0"/>
          <w:sz w:val="28"/>
          <w:szCs w:val="28"/>
        </w:rPr>
        <w:t>Výsledkami v oblasti vedy a výskumu obhájila Slovenská technická univerzita v Bratislave pevné postavenie medzi poprednými výskumnými inštitúciami na Slovensku.</w:t>
      </w:r>
      <w:r w:rsidRPr="00F0732E">
        <w:rPr>
          <w:rStyle w:val="Siln"/>
          <w:b w:val="0"/>
          <w:color w:val="FF0000"/>
          <w:sz w:val="28"/>
          <w:szCs w:val="28"/>
        </w:rPr>
        <w:t xml:space="preserve"> </w:t>
      </w:r>
      <w:r w:rsidRPr="00F0732E">
        <w:rPr>
          <w:rStyle w:val="Siln"/>
          <w:b w:val="0"/>
          <w:sz w:val="28"/>
          <w:szCs w:val="28"/>
        </w:rPr>
        <w:t xml:space="preserve">STU si udržala pozíciu v publikačnej aktivite aj v získavaní domácich a zahraničných grantov. </w:t>
      </w:r>
      <w:r w:rsidRPr="00F0732E">
        <w:rPr>
          <w:b/>
          <w:sz w:val="28"/>
          <w:szCs w:val="28"/>
        </w:rPr>
        <w:t>V roku 2014 predstavoval podiel STU v počte publikáci</w:t>
      </w:r>
      <w:r w:rsidR="00FD7BE8">
        <w:rPr>
          <w:b/>
          <w:sz w:val="28"/>
          <w:szCs w:val="28"/>
        </w:rPr>
        <w:t>í</w:t>
      </w:r>
      <w:r w:rsidRPr="00F0732E">
        <w:rPr>
          <w:b/>
          <w:sz w:val="28"/>
          <w:szCs w:val="28"/>
        </w:rPr>
        <w:t xml:space="preserve"> registrovaných v </w:t>
      </w:r>
      <w:r w:rsidR="00BE4256" w:rsidRPr="00F0732E">
        <w:rPr>
          <w:b/>
          <w:sz w:val="28"/>
          <w:szCs w:val="28"/>
        </w:rPr>
        <w:t>databá</w:t>
      </w:r>
      <w:r w:rsidR="00BE4256">
        <w:rPr>
          <w:b/>
          <w:sz w:val="28"/>
          <w:szCs w:val="28"/>
        </w:rPr>
        <w:t>z</w:t>
      </w:r>
      <w:r w:rsidR="00BE4256" w:rsidRPr="00F0732E">
        <w:rPr>
          <w:b/>
          <w:sz w:val="28"/>
          <w:szCs w:val="28"/>
        </w:rPr>
        <w:t>e</w:t>
      </w:r>
      <w:r w:rsidRPr="00F0732E">
        <w:rPr>
          <w:b/>
          <w:sz w:val="28"/>
          <w:szCs w:val="28"/>
        </w:rPr>
        <w:t xml:space="preserve"> SCOPUS 25 % v rámci slovenských verejných vysokých škôl, 22 % podiel v domácich a 12 % podiel v zahraničných výskumných projektoch a v rámci podnikateľskej činnosti zase podiel 65 percent v rámci všetkých verejných vysokých škôl na Slovensku.</w:t>
      </w:r>
    </w:p>
    <w:p w:rsidR="00B51749" w:rsidRPr="00F0732E" w:rsidRDefault="00B51749" w:rsidP="00B51749">
      <w:pPr>
        <w:pStyle w:val="Odsekzoznamu"/>
        <w:spacing w:line="240" w:lineRule="auto"/>
        <w:ind w:left="0"/>
        <w:rPr>
          <w:rFonts w:ascii="Cambria" w:hAnsi="Cambria"/>
          <w:sz w:val="28"/>
          <w:szCs w:val="28"/>
        </w:rPr>
      </w:pPr>
      <w:r w:rsidRPr="00F0732E">
        <w:rPr>
          <w:rFonts w:ascii="Cambria" w:hAnsi="Cambria"/>
          <w:sz w:val="28"/>
          <w:szCs w:val="28"/>
        </w:rPr>
        <w:t xml:space="preserve">Pracovníci univerzity podali vyše 40 žiadostí o účasť v konzorciách projektov v rámci H2020, pričom 4 z nich už boli bruselskou administratívou posúdené pozitívne. </w:t>
      </w:r>
    </w:p>
    <w:p w:rsidR="00B51749" w:rsidRPr="00F0732E" w:rsidRDefault="00B51749" w:rsidP="00B51749">
      <w:pPr>
        <w:pStyle w:val="Odsekzoznamu"/>
        <w:spacing w:line="240" w:lineRule="auto"/>
        <w:ind w:left="0"/>
        <w:rPr>
          <w:rStyle w:val="Siln"/>
          <w:rFonts w:ascii="Cambria" w:hAnsi="Cambria"/>
          <w:b w:val="0"/>
          <w:sz w:val="28"/>
          <w:szCs w:val="28"/>
        </w:rPr>
      </w:pPr>
      <w:r w:rsidRPr="00F0732E">
        <w:rPr>
          <w:rStyle w:val="Siln"/>
          <w:rFonts w:ascii="Cambria" w:hAnsi="Cambria"/>
          <w:b w:val="0"/>
          <w:sz w:val="28"/>
          <w:szCs w:val="28"/>
        </w:rPr>
        <w:lastRenderedPageBreak/>
        <w:t>Medzi najúspešnejšie fakulty v získavaní grantov patrí Fakulta elektrotechniky a informatiky, Fakulta chemickej a potravinárskej technológie a Stavebná fakulta STU.</w:t>
      </w:r>
    </w:p>
    <w:p w:rsidR="00B51749" w:rsidRPr="00F0732E" w:rsidRDefault="00B51749" w:rsidP="00B51749">
      <w:pPr>
        <w:pStyle w:val="Odsekzoznamu"/>
        <w:spacing w:line="240" w:lineRule="auto"/>
        <w:ind w:left="0"/>
        <w:rPr>
          <w:rFonts w:ascii="Cambria" w:hAnsi="Cambria"/>
          <w:sz w:val="28"/>
          <w:szCs w:val="28"/>
        </w:rPr>
      </w:pPr>
      <w:r w:rsidRPr="00F0732E">
        <w:rPr>
          <w:rFonts w:ascii="Cambria" w:hAnsi="Cambria"/>
          <w:sz w:val="28"/>
          <w:szCs w:val="28"/>
        </w:rPr>
        <w:t xml:space="preserve">Okrem projektov financovaných z grantov, prebieha na STU výskum v spolupráci s praxou, prepojený na požiadavky priemyslu. </w:t>
      </w:r>
    </w:p>
    <w:p w:rsidR="00B51749" w:rsidRPr="006D127C" w:rsidRDefault="00B51749" w:rsidP="00B51749">
      <w:pPr>
        <w:pStyle w:val="Odsekzoznamu"/>
        <w:spacing w:line="240" w:lineRule="auto"/>
        <w:ind w:left="0"/>
        <w:rPr>
          <w:rFonts w:ascii="Cambria" w:hAnsi="Cambria"/>
          <w:color w:val="FF0000"/>
          <w:sz w:val="28"/>
          <w:szCs w:val="28"/>
        </w:rPr>
      </w:pPr>
      <w:r w:rsidRPr="00EB0818">
        <w:rPr>
          <w:rFonts w:ascii="Cambria" w:hAnsi="Cambria"/>
          <w:b/>
          <w:sz w:val="28"/>
          <w:szCs w:val="28"/>
        </w:rPr>
        <w:t>V roku 2014 sa na STU riešilo 274 projektov zmluvného výskumu pre priemyselnú prax a takmer 500 výskumných projektov financovaných z grantov, z čoho bolo 20 projektov 7. rámcového programu Európskej únie, vrátane iniciatívy ENIAC.</w:t>
      </w:r>
      <w:r w:rsidR="006D127C">
        <w:rPr>
          <w:rFonts w:ascii="Cambria" w:hAnsi="Cambria"/>
          <w:b/>
          <w:sz w:val="28"/>
          <w:szCs w:val="28"/>
        </w:rPr>
        <w:t xml:space="preserve"> </w:t>
      </w:r>
    </w:p>
    <w:p w:rsidR="00B51749" w:rsidRPr="00F0732E" w:rsidRDefault="00B51749" w:rsidP="00B51749">
      <w:pPr>
        <w:autoSpaceDE w:val="0"/>
        <w:autoSpaceDN w:val="0"/>
        <w:adjustRightInd w:val="0"/>
        <w:rPr>
          <w:sz w:val="28"/>
          <w:szCs w:val="28"/>
        </w:rPr>
      </w:pPr>
      <w:r w:rsidRPr="00F0732E">
        <w:rPr>
          <w:sz w:val="28"/>
          <w:szCs w:val="28"/>
        </w:rPr>
        <w:t xml:space="preserve">STU podporuje a motivuje vedcov a mladých vedcov aj prostredníctvom vnútorných grantov. V roku 2014 získalo v rámci </w:t>
      </w:r>
      <w:r w:rsidRPr="00F0732E">
        <w:rPr>
          <w:b/>
          <w:sz w:val="28"/>
          <w:szCs w:val="28"/>
        </w:rPr>
        <w:t>Programu na podporu mladých výskumných pracovníkov</w:t>
      </w:r>
      <w:r w:rsidRPr="00F0732E">
        <w:rPr>
          <w:sz w:val="28"/>
          <w:szCs w:val="28"/>
        </w:rPr>
        <w:t xml:space="preserve"> grant na výskum 111 mladých vedcov. Celkovo si rozdelili takmer 110 tisíc eur. V roku 2013 rozšírila univerzita tento program aj o </w:t>
      </w:r>
      <w:r w:rsidRPr="00F0732E">
        <w:rPr>
          <w:b/>
          <w:sz w:val="28"/>
          <w:szCs w:val="28"/>
        </w:rPr>
        <w:t>Pokračujúce projekty na podporu excelentných mladých výskumníkov</w:t>
      </w:r>
      <w:r w:rsidRPr="00F0732E">
        <w:rPr>
          <w:sz w:val="28"/>
          <w:szCs w:val="28"/>
        </w:rPr>
        <w:t xml:space="preserve">. V roku 2014 </w:t>
      </w:r>
      <w:r w:rsidR="006D127C">
        <w:rPr>
          <w:sz w:val="28"/>
          <w:szCs w:val="28"/>
        </w:rPr>
        <w:t xml:space="preserve">uvedený </w:t>
      </w:r>
      <w:r w:rsidRPr="00F0732E">
        <w:rPr>
          <w:sz w:val="28"/>
          <w:szCs w:val="28"/>
        </w:rPr>
        <w:t xml:space="preserve">projekt pokračoval. </w:t>
      </w:r>
      <w:r w:rsidRPr="00F0732E">
        <w:rPr>
          <w:bCs/>
          <w:sz w:val="28"/>
          <w:szCs w:val="28"/>
        </w:rPr>
        <w:t xml:space="preserve">Z úspešných riešiteľov bolo vybraných 5 najkvalitnejších žiadostí, pričom </w:t>
      </w:r>
      <w:r w:rsidR="006D127C">
        <w:rPr>
          <w:bCs/>
          <w:sz w:val="28"/>
          <w:szCs w:val="28"/>
        </w:rPr>
        <w:t>každý z</w:t>
      </w:r>
      <w:r w:rsidRPr="00F0732E">
        <w:rPr>
          <w:bCs/>
          <w:sz w:val="28"/>
          <w:szCs w:val="28"/>
        </w:rPr>
        <w:t xml:space="preserve"> grant</w:t>
      </w:r>
      <w:r w:rsidR="006D127C">
        <w:rPr>
          <w:bCs/>
          <w:sz w:val="28"/>
          <w:szCs w:val="28"/>
        </w:rPr>
        <w:t>ov</w:t>
      </w:r>
      <w:r w:rsidRPr="00F0732E">
        <w:rPr>
          <w:bCs/>
          <w:sz w:val="28"/>
          <w:szCs w:val="28"/>
        </w:rPr>
        <w:t xml:space="preserve"> bol dotované sumou do 3</w:t>
      </w:r>
      <w:r w:rsidR="00FD7BE8">
        <w:rPr>
          <w:bCs/>
          <w:sz w:val="28"/>
          <w:szCs w:val="28"/>
        </w:rPr>
        <w:t xml:space="preserve"> </w:t>
      </w:r>
      <w:r w:rsidRPr="00F0732E">
        <w:rPr>
          <w:bCs/>
          <w:sz w:val="28"/>
          <w:szCs w:val="28"/>
        </w:rPr>
        <w:t>000 €. STU od roku 2010 takmer strojnásobila objem finančných prostriedkov na podporu mladých výskumníkov.</w:t>
      </w:r>
      <w:r w:rsidRPr="00F0732E">
        <w:rPr>
          <w:sz w:val="28"/>
          <w:szCs w:val="28"/>
        </w:rPr>
        <w:t xml:space="preserve"> </w:t>
      </w:r>
    </w:p>
    <w:p w:rsidR="00B51749" w:rsidRPr="00F0732E" w:rsidRDefault="00B51749" w:rsidP="00B51749">
      <w:pPr>
        <w:pStyle w:val="Default"/>
        <w:spacing w:before="100"/>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 xml:space="preserve">Univerzita odmeňuje tiež významné publikačné aktivity, predovšetkým články v prestížnych vedeckých časopisoch s vysokým impakt faktorom. </w:t>
      </w:r>
    </w:p>
    <w:p w:rsidR="00B51749" w:rsidRPr="00F0732E" w:rsidRDefault="00B51749" w:rsidP="00B51749">
      <w:pPr>
        <w:pStyle w:val="Default"/>
        <w:spacing w:before="100"/>
        <w:jc w:val="both"/>
        <w:rPr>
          <w:rFonts w:ascii="Cambria" w:hAnsi="Cambria"/>
          <w:sz w:val="28"/>
          <w:szCs w:val="28"/>
          <w:lang w:val="sk-SK"/>
        </w:rPr>
      </w:pPr>
      <w:r w:rsidRPr="00F0732E">
        <w:rPr>
          <w:rFonts w:ascii="Cambria" w:hAnsi="Cambria" w:cs="Times New Roman"/>
          <w:color w:val="auto"/>
          <w:sz w:val="28"/>
          <w:szCs w:val="28"/>
          <w:lang w:val="sk-SK"/>
        </w:rPr>
        <w:t>Motivačnú</w:t>
      </w:r>
      <w:r w:rsidRPr="00F0732E">
        <w:rPr>
          <w:rFonts w:ascii="Cambria" w:hAnsi="Cambria"/>
          <w:sz w:val="28"/>
          <w:szCs w:val="28"/>
          <w:lang w:val="sk-SK"/>
        </w:rPr>
        <w:t xml:space="preserve"> úlohu má tiež každoročná súťaž o titul </w:t>
      </w:r>
      <w:r w:rsidRPr="00F0732E">
        <w:rPr>
          <w:rFonts w:ascii="Cambria" w:hAnsi="Cambria"/>
          <w:b/>
          <w:sz w:val="28"/>
          <w:szCs w:val="28"/>
          <w:lang w:val="sk-SK"/>
        </w:rPr>
        <w:t>Vedec roka STU</w:t>
      </w:r>
      <w:r w:rsidRPr="00F0732E">
        <w:rPr>
          <w:rFonts w:ascii="Cambria" w:hAnsi="Cambria"/>
          <w:sz w:val="28"/>
          <w:szCs w:val="28"/>
          <w:lang w:val="sk-SK"/>
        </w:rPr>
        <w:t xml:space="preserve"> a Mladý vedecký pracovník STU. Cenu Vedec roka STU 2014 získala</w:t>
      </w:r>
      <w:r w:rsidRPr="00F0732E">
        <w:rPr>
          <w:rFonts w:ascii="Cambria" w:hAnsi="Cambria"/>
          <w:b/>
          <w:bCs/>
          <w:iCs/>
          <w:sz w:val="28"/>
          <w:szCs w:val="28"/>
          <w:lang w:val="sk-SK"/>
        </w:rPr>
        <w:t xml:space="preserve"> prof. Dr. Ing. arch. Henrieta Moravčíková </w:t>
      </w:r>
      <w:r w:rsidRPr="00F0732E">
        <w:rPr>
          <w:rFonts w:ascii="Cambria" w:hAnsi="Cambria"/>
          <w:bCs/>
          <w:iCs/>
          <w:sz w:val="28"/>
          <w:szCs w:val="28"/>
          <w:lang w:val="sk-SK"/>
        </w:rPr>
        <w:t>z Ústavu dejín a teórie architektúry a obnovy pamiatok Fakulty architektúry STU. V kategórii mladý vedecký pracovník</w:t>
      </w:r>
      <w:r w:rsidRPr="00F0732E">
        <w:rPr>
          <w:rFonts w:ascii="Cambria" w:hAnsi="Cambria"/>
          <w:b/>
          <w:bCs/>
          <w:iCs/>
          <w:sz w:val="28"/>
          <w:szCs w:val="28"/>
          <w:lang w:val="sk-SK"/>
        </w:rPr>
        <w:t xml:space="preserve"> bol ocenený Mgr. Marián Palcut, PhD., </w:t>
      </w:r>
      <w:r w:rsidRPr="00F0732E">
        <w:rPr>
          <w:rFonts w:ascii="Cambria" w:hAnsi="Cambria"/>
          <w:bCs/>
          <w:iCs/>
          <w:sz w:val="28"/>
          <w:szCs w:val="28"/>
          <w:lang w:val="sk-SK"/>
        </w:rPr>
        <w:t>z Ústavu materiálov Materiálovotechnologickej fakulty STU</w:t>
      </w:r>
      <w:r w:rsidRPr="00F0732E">
        <w:rPr>
          <w:rFonts w:ascii="Cambria" w:hAnsi="Cambria"/>
          <w:b/>
          <w:iCs/>
          <w:sz w:val="28"/>
          <w:szCs w:val="28"/>
          <w:lang w:val="sk-SK"/>
        </w:rPr>
        <w:t xml:space="preserve">. </w:t>
      </w:r>
    </w:p>
    <w:p w:rsidR="00B51749" w:rsidRPr="00F0732E" w:rsidRDefault="00B51749" w:rsidP="00B51749">
      <w:pPr>
        <w:pStyle w:val="Normlnywebov"/>
        <w:shd w:val="clear" w:color="auto" w:fill="FFFFFF"/>
        <w:rPr>
          <w:rFonts w:ascii="Cambria" w:hAnsi="Cambria" w:cs="Arial"/>
          <w:color w:val="000000"/>
          <w:sz w:val="28"/>
          <w:szCs w:val="28"/>
          <w:lang w:eastAsia="sk-SK"/>
        </w:rPr>
      </w:pPr>
      <w:r w:rsidRPr="00F0732E">
        <w:rPr>
          <w:rStyle w:val="Siln"/>
          <w:rFonts w:ascii="Cambria" w:hAnsi="Cambria"/>
          <w:b w:val="0"/>
          <w:sz w:val="28"/>
          <w:szCs w:val="28"/>
        </w:rPr>
        <w:t xml:space="preserve">Vedci a vedecké kolektívy STU získali v roku 2014 významné ocenia aj mimo univerzity. </w:t>
      </w:r>
      <w:r w:rsidRPr="00F0732E">
        <w:rPr>
          <w:rFonts w:ascii="Cambria" w:hAnsi="Cambria" w:cs="Arial"/>
          <w:b/>
          <w:bCs/>
          <w:sz w:val="28"/>
          <w:szCs w:val="28"/>
          <w:lang w:eastAsia="sk-SK"/>
        </w:rPr>
        <w:t>V novembri 2014 v rámci </w:t>
      </w:r>
      <w:r w:rsidRPr="00F0732E">
        <w:rPr>
          <w:rFonts w:ascii="Cambria" w:hAnsi="Cambria" w:cs="Arial"/>
          <w:sz w:val="28"/>
          <w:szCs w:val="28"/>
          <w:lang w:eastAsia="sk-SK"/>
        </w:rPr>
        <w:t>podujatia </w:t>
      </w:r>
      <w:r w:rsidRPr="00F0732E">
        <w:rPr>
          <w:rFonts w:ascii="Cambria" w:hAnsi="Cambria" w:cs="Arial"/>
          <w:iCs/>
          <w:sz w:val="28"/>
          <w:szCs w:val="28"/>
          <w:lang w:eastAsia="sk-SK"/>
        </w:rPr>
        <w:t xml:space="preserve">Týždeň vedy a techniky na Slovensku, získal cenu tím </w:t>
      </w:r>
      <w:r w:rsidRPr="00F0732E">
        <w:rPr>
          <w:rFonts w:ascii="Cambria" w:hAnsi="Cambria" w:cs="Arial"/>
          <w:b/>
          <w:bCs/>
          <w:iCs/>
          <w:sz w:val="28"/>
          <w:szCs w:val="28"/>
          <w:lang w:eastAsia="sk-SK"/>
        </w:rPr>
        <w:t>hodnotenia radiačného poškodenia konštrukčných materiálov štiepnych a fúznych reaktorov</w:t>
      </w:r>
      <w:r w:rsidRPr="00F0732E">
        <w:rPr>
          <w:rFonts w:ascii="Cambria" w:hAnsi="Cambria" w:cs="Arial"/>
          <w:sz w:val="28"/>
          <w:szCs w:val="28"/>
          <w:lang w:eastAsia="sk-SK"/>
        </w:rPr>
        <w:t> z</w:t>
      </w:r>
      <w:r w:rsidRPr="00F0732E">
        <w:rPr>
          <w:rFonts w:ascii="Cambria" w:hAnsi="Cambria" w:cs="Arial"/>
          <w:iCs/>
          <w:sz w:val="28"/>
          <w:szCs w:val="28"/>
          <w:lang w:eastAsia="sk-SK"/>
        </w:rPr>
        <w:t xml:space="preserve"> Ústavu jadrového a fyzikálneho inžinierstva FEI STU. </w:t>
      </w:r>
      <w:r w:rsidRPr="00F0732E">
        <w:rPr>
          <w:rFonts w:ascii="Cambria" w:hAnsi="Cambria" w:cs="Arial"/>
          <w:b/>
          <w:bCs/>
          <w:sz w:val="28"/>
          <w:szCs w:val="28"/>
          <w:lang w:eastAsia="sk-SK"/>
        </w:rPr>
        <w:t>Cen</w:t>
      </w:r>
      <w:r w:rsidR="00FD7BE8">
        <w:rPr>
          <w:rFonts w:ascii="Cambria" w:hAnsi="Cambria" w:cs="Arial"/>
          <w:b/>
          <w:bCs/>
          <w:sz w:val="28"/>
          <w:szCs w:val="28"/>
          <w:lang w:eastAsia="sk-SK"/>
        </w:rPr>
        <w:t>u</w:t>
      </w:r>
      <w:r w:rsidRPr="00F0732E">
        <w:rPr>
          <w:rFonts w:ascii="Cambria" w:hAnsi="Cambria" w:cs="Arial"/>
          <w:b/>
          <w:bCs/>
          <w:sz w:val="28"/>
          <w:szCs w:val="28"/>
          <w:lang w:eastAsia="sk-SK"/>
        </w:rPr>
        <w:t xml:space="preserve"> za vedu a techniku získal v kategórii</w:t>
      </w:r>
      <w:r w:rsidRPr="00F0732E">
        <w:rPr>
          <w:rFonts w:ascii="Cambria" w:hAnsi="Cambria" w:cs="Arial"/>
          <w:b/>
          <w:bCs/>
          <w:color w:val="000000"/>
          <w:sz w:val="28"/>
          <w:szCs w:val="28"/>
          <w:lang w:eastAsia="sk-SK"/>
        </w:rPr>
        <w:t xml:space="preserve"> „Vedecko-technický tím roka“.</w:t>
      </w:r>
    </w:p>
    <w:p w:rsidR="00B51749" w:rsidRPr="00F0732E" w:rsidRDefault="00B51749" w:rsidP="00B51749">
      <w:pPr>
        <w:shd w:val="clear" w:color="auto" w:fill="FFFFFF"/>
        <w:spacing w:before="100" w:beforeAutospacing="1" w:after="100" w:afterAutospacing="1"/>
        <w:jc w:val="left"/>
        <w:rPr>
          <w:rFonts w:eastAsia="Times New Roman" w:cs="Arial"/>
          <w:color w:val="000000"/>
          <w:sz w:val="28"/>
          <w:szCs w:val="28"/>
          <w:lang w:eastAsia="sk-SK"/>
        </w:rPr>
      </w:pPr>
      <w:r w:rsidRPr="00F0732E">
        <w:rPr>
          <w:rFonts w:eastAsia="Times New Roman" w:cs="Arial"/>
          <w:color w:val="000000"/>
          <w:sz w:val="28"/>
          <w:szCs w:val="28"/>
          <w:lang w:eastAsia="sk-SK"/>
        </w:rPr>
        <w:t xml:space="preserve">Cenu za celoživotné zásluhy v oblasti vedy a techniky si prevzal </w:t>
      </w:r>
      <w:r w:rsidRPr="00F0732E">
        <w:rPr>
          <w:rFonts w:eastAsia="Times New Roman" w:cs="Arial"/>
          <w:b/>
          <w:bCs/>
          <w:iCs/>
          <w:color w:val="000000"/>
          <w:sz w:val="28"/>
          <w:szCs w:val="28"/>
          <w:lang w:eastAsia="sk-SK"/>
        </w:rPr>
        <w:t>doc. Ing. Ján Lešinský, CSc.</w:t>
      </w:r>
      <w:r w:rsidRPr="00F0732E">
        <w:rPr>
          <w:rFonts w:eastAsia="Times New Roman" w:cs="Arial"/>
          <w:iCs/>
          <w:color w:val="000000"/>
          <w:sz w:val="28"/>
          <w:szCs w:val="28"/>
          <w:lang w:eastAsia="sk-SK"/>
        </w:rPr>
        <w:t>,</w:t>
      </w:r>
      <w:r w:rsidRPr="00F0732E">
        <w:rPr>
          <w:rFonts w:eastAsia="Times New Roman" w:cs="Arial"/>
          <w:color w:val="000000"/>
          <w:sz w:val="28"/>
          <w:szCs w:val="28"/>
          <w:lang w:eastAsia="sk-SK"/>
        </w:rPr>
        <w:t xml:space="preserve"> z Inštitútu celoživotného vzdelávania. </w:t>
      </w:r>
    </w:p>
    <w:p w:rsidR="00B51749" w:rsidRPr="00F0732E" w:rsidRDefault="00B51749" w:rsidP="00B51749">
      <w:pPr>
        <w:pStyle w:val="snormalny"/>
        <w:spacing w:line="240" w:lineRule="auto"/>
        <w:jc w:val="both"/>
        <w:rPr>
          <w:rFonts w:ascii="Cambria" w:hAnsi="Cambria" w:cs="Times New Roman"/>
          <w:color w:val="auto"/>
          <w:sz w:val="28"/>
          <w:szCs w:val="28"/>
        </w:rPr>
      </w:pPr>
      <w:r w:rsidRPr="00F0732E">
        <w:rPr>
          <w:rFonts w:ascii="Cambria" w:hAnsi="Cambria"/>
          <w:color w:val="auto"/>
          <w:sz w:val="28"/>
          <w:szCs w:val="28"/>
        </w:rPr>
        <w:t xml:space="preserve">Na konferencii NITT 2014 – Transfer technológií na Slovensku a v zahraničí získala zase </w:t>
      </w:r>
      <w:r w:rsidRPr="00F0732E">
        <w:rPr>
          <w:rFonts w:ascii="Cambria" w:hAnsi="Cambria"/>
          <w:b/>
          <w:color w:val="auto"/>
          <w:sz w:val="28"/>
          <w:szCs w:val="28"/>
        </w:rPr>
        <w:t xml:space="preserve">cenu v kategórii „Najlepšie realizovaný transfer </w:t>
      </w:r>
      <w:r w:rsidRPr="00F0732E">
        <w:rPr>
          <w:rFonts w:ascii="Cambria" w:hAnsi="Cambria"/>
          <w:b/>
          <w:color w:val="auto"/>
          <w:sz w:val="28"/>
          <w:szCs w:val="28"/>
        </w:rPr>
        <w:lastRenderedPageBreak/>
        <w:t xml:space="preserve">technológií“ </w:t>
      </w:r>
      <w:r w:rsidRPr="00F0732E">
        <w:rPr>
          <w:rFonts w:ascii="Cambria" w:hAnsi="Cambria"/>
          <w:color w:val="auto"/>
          <w:sz w:val="28"/>
          <w:szCs w:val="28"/>
        </w:rPr>
        <w:t>technológia na zvýšenie cetánového čísla dieselových palív alebo biodieselových palív, ktorej autormi sú vedci z FCHPT STU.</w:t>
      </w:r>
    </w:p>
    <w:p w:rsidR="00B51749" w:rsidRPr="00F0732E" w:rsidRDefault="00B51749" w:rsidP="00B51749">
      <w:pPr>
        <w:pStyle w:val="Default"/>
        <w:jc w:val="both"/>
        <w:rPr>
          <w:rFonts w:ascii="Cambria" w:hAnsi="Cambria" w:cs="Times New Roman"/>
          <w:color w:val="FF0000"/>
          <w:sz w:val="28"/>
          <w:szCs w:val="28"/>
          <w:lang w:val="sk-SK"/>
        </w:rPr>
      </w:pPr>
    </w:p>
    <w:p w:rsidR="00B51749" w:rsidRPr="00F0732E" w:rsidRDefault="00B51749" w:rsidP="00B51749">
      <w:pPr>
        <w:rPr>
          <w:sz w:val="28"/>
          <w:szCs w:val="28"/>
        </w:rPr>
      </w:pPr>
      <w:r w:rsidRPr="00F0732E">
        <w:rPr>
          <w:sz w:val="28"/>
          <w:szCs w:val="28"/>
        </w:rPr>
        <w:t xml:space="preserve">Slovenská technická univerzita pokračovala v roku 2014 s realizáciou významných rozvojových projektov – s budovaním </w:t>
      </w:r>
      <w:r w:rsidRPr="00F0732E">
        <w:rPr>
          <w:b/>
          <w:sz w:val="28"/>
          <w:szCs w:val="28"/>
        </w:rPr>
        <w:t>Univerzitného vedeckého parku Science City v Bratislave a Univerzitného vedeckého parku Cambo v Trnave.</w:t>
      </w:r>
      <w:r w:rsidRPr="00F0732E">
        <w:rPr>
          <w:sz w:val="28"/>
          <w:szCs w:val="28"/>
        </w:rPr>
        <w:t xml:space="preserve"> </w:t>
      </w:r>
    </w:p>
    <w:p w:rsidR="00B51749" w:rsidRPr="00F0732E" w:rsidRDefault="00B51749" w:rsidP="00B51749">
      <w:pPr>
        <w:rPr>
          <w:sz w:val="28"/>
          <w:szCs w:val="28"/>
        </w:rPr>
      </w:pPr>
      <w:r w:rsidRPr="00F0732E">
        <w:rPr>
          <w:sz w:val="28"/>
          <w:szCs w:val="28"/>
        </w:rPr>
        <w:t xml:space="preserve">V rámci projektov univerzita obnovuje budovy a vedecké laboratória, ktoré zariaďuje špičkovými prístrojmi. Niektoré pracoviská budú unikátne v európskom rozmere, čo umožní </w:t>
      </w:r>
      <w:r w:rsidRPr="00F0732E">
        <w:rPr>
          <w:bCs/>
          <w:sz w:val="28"/>
          <w:szCs w:val="28"/>
        </w:rPr>
        <w:t>zintenzívniť spoluprácu domácich výskumných tímov s medzinárodnými tímami</w:t>
      </w:r>
      <w:r w:rsidRPr="00F0732E">
        <w:rPr>
          <w:sz w:val="28"/>
          <w:szCs w:val="28"/>
        </w:rPr>
        <w:t>. V roku 2014 prebiehali rekonštrukčné práce na FA, SjF, SvF a FCHPT, na začiatku roka 2015 spustila STU aj rekonštrukciu budovy FEI.</w:t>
      </w:r>
    </w:p>
    <w:p w:rsidR="00B51749" w:rsidRPr="00F0732E" w:rsidRDefault="00B51749" w:rsidP="00B51749">
      <w:pPr>
        <w:rPr>
          <w:rStyle w:val="Siln"/>
          <w:b w:val="0"/>
          <w:sz w:val="28"/>
          <w:szCs w:val="28"/>
        </w:rPr>
      </w:pPr>
      <w:r w:rsidRPr="00F0732E">
        <w:rPr>
          <w:sz w:val="28"/>
          <w:szCs w:val="28"/>
        </w:rPr>
        <w:t xml:space="preserve">Prostredníctvom verejných obstarávaní boli obstarané a postupne dodávané prvé prístroje do laboratórií na fakultách. </w:t>
      </w:r>
    </w:p>
    <w:p w:rsidR="00B51749" w:rsidRPr="00F0732E" w:rsidRDefault="00B51749" w:rsidP="00B51749">
      <w:pPr>
        <w:pStyle w:val="Bezriadkovania"/>
        <w:jc w:val="both"/>
        <w:rPr>
          <w:rStyle w:val="Siln"/>
          <w:rFonts w:ascii="Cambria" w:hAnsi="Cambria"/>
          <w:b w:val="0"/>
          <w:color w:val="FF0000"/>
          <w:sz w:val="28"/>
          <w:szCs w:val="28"/>
        </w:rPr>
      </w:pPr>
    </w:p>
    <w:p w:rsidR="00B51749" w:rsidRPr="00F0732E" w:rsidRDefault="00B51749" w:rsidP="00B51749">
      <w:pPr>
        <w:pStyle w:val="Bezriadkovania"/>
        <w:jc w:val="both"/>
        <w:rPr>
          <w:rFonts w:ascii="Cambria" w:hAnsi="Cambria"/>
          <w:b/>
          <w:sz w:val="28"/>
          <w:szCs w:val="28"/>
        </w:rPr>
      </w:pPr>
      <w:r w:rsidRPr="00F0732E">
        <w:rPr>
          <w:rStyle w:val="Siln"/>
          <w:rFonts w:ascii="Cambria" w:hAnsi="Cambria"/>
          <w:b w:val="0"/>
          <w:sz w:val="28"/>
          <w:szCs w:val="28"/>
        </w:rPr>
        <w:t xml:space="preserve">Prioritou Slovenskej technickej univerzity v Bratislave bolo zlepšenie a zjednotenie patentovej politiky. Po prijatí novej smernice rektora </w:t>
      </w:r>
      <w:r w:rsidRPr="00F0732E">
        <w:rPr>
          <w:rFonts w:ascii="Cambria" w:hAnsi="Cambria"/>
          <w:sz w:val="28"/>
          <w:szCs w:val="28"/>
        </w:rPr>
        <w:t>"</w:t>
      </w:r>
      <w:r w:rsidRPr="00F0732E">
        <w:rPr>
          <w:rFonts w:ascii="Cambria" w:hAnsi="Cambria"/>
          <w:i/>
          <w:sz w:val="28"/>
          <w:szCs w:val="28"/>
        </w:rPr>
        <w:t>Ochrana a správa práv priemyselného vlastníctva na STU</w:t>
      </w:r>
      <w:r w:rsidRPr="00F0732E">
        <w:rPr>
          <w:rFonts w:ascii="Cambria" w:hAnsi="Cambria"/>
          <w:sz w:val="28"/>
          <w:szCs w:val="28"/>
        </w:rPr>
        <w:t>" a zriadení špecializovaného pracoviska Know-how centra STU – Kancelária spolupráce s praxou v roku 2013</w:t>
      </w:r>
      <w:r w:rsidR="006D127C">
        <w:rPr>
          <w:rFonts w:ascii="Cambria" w:hAnsi="Cambria"/>
          <w:sz w:val="28"/>
          <w:szCs w:val="28"/>
        </w:rPr>
        <w:t>,</w:t>
      </w:r>
      <w:r w:rsidRPr="00F0732E">
        <w:rPr>
          <w:rFonts w:ascii="Cambria" w:hAnsi="Cambria"/>
          <w:sz w:val="28"/>
          <w:szCs w:val="28"/>
        </w:rPr>
        <w:t xml:space="preserve"> nastali v tejto oblasti postupné zlepšenia. </w:t>
      </w:r>
      <w:r w:rsidRPr="00F0732E">
        <w:rPr>
          <w:rFonts w:ascii="Cambria" w:hAnsi="Cambria"/>
          <w:b/>
          <w:sz w:val="28"/>
          <w:szCs w:val="28"/>
        </w:rPr>
        <w:t xml:space="preserve">Na Úrad priemyselného vlastníctva bolo podaných viac ako 20 patentových prihlášok a prihlášok </w:t>
      </w:r>
      <w:r w:rsidR="00542541">
        <w:rPr>
          <w:rFonts w:ascii="Cambria" w:hAnsi="Cambria"/>
          <w:b/>
          <w:sz w:val="28"/>
          <w:szCs w:val="28"/>
        </w:rPr>
        <w:t>ú</w:t>
      </w:r>
      <w:r w:rsidRPr="00F0732E">
        <w:rPr>
          <w:rFonts w:ascii="Cambria" w:hAnsi="Cambria"/>
          <w:b/>
          <w:sz w:val="28"/>
          <w:szCs w:val="28"/>
        </w:rPr>
        <w:t>žitkových vzorov.</w:t>
      </w:r>
    </w:p>
    <w:p w:rsidR="00B51749" w:rsidRPr="00F0732E" w:rsidRDefault="00B51749" w:rsidP="00B51749">
      <w:pPr>
        <w:pStyle w:val="Bezriadkovania"/>
        <w:rPr>
          <w:rFonts w:ascii="Cambria" w:hAnsi="Cambria"/>
          <w:color w:val="FF0000"/>
          <w:sz w:val="28"/>
          <w:szCs w:val="28"/>
        </w:rPr>
      </w:pPr>
    </w:p>
    <w:p w:rsidR="00B51749" w:rsidRPr="00F0732E" w:rsidRDefault="00B51749" w:rsidP="00B51749">
      <w:pPr>
        <w:pStyle w:val="Bezriadkovania"/>
        <w:jc w:val="both"/>
        <w:rPr>
          <w:rFonts w:ascii="Cambria" w:hAnsi="Cambria"/>
          <w:b/>
          <w:sz w:val="28"/>
          <w:szCs w:val="28"/>
        </w:rPr>
      </w:pPr>
      <w:r w:rsidRPr="00F0732E">
        <w:rPr>
          <w:rFonts w:ascii="Cambria" w:hAnsi="Cambria"/>
          <w:sz w:val="28"/>
          <w:szCs w:val="28"/>
        </w:rPr>
        <w:t xml:space="preserve">Univerzita podporuje transfer poznatkov z laboratórií do praxe aj prostredníctvom spin-off a start-up spoločností. V rámci univerzity v roku 2013 pôsobilo </w:t>
      </w:r>
      <w:r w:rsidRPr="00F0732E">
        <w:rPr>
          <w:rFonts w:ascii="Cambria" w:hAnsi="Cambria"/>
          <w:b/>
          <w:sz w:val="28"/>
          <w:szCs w:val="28"/>
        </w:rPr>
        <w:t>6 spin-off</w:t>
      </w:r>
      <w:r w:rsidRPr="00F0732E">
        <w:rPr>
          <w:rFonts w:ascii="Cambria" w:hAnsi="Cambria"/>
          <w:sz w:val="28"/>
          <w:szCs w:val="28"/>
        </w:rPr>
        <w:t xml:space="preserve"> spoločností. V Univerzitnom technologickom inkubátore v roku 2014 pribudli </w:t>
      </w:r>
      <w:r w:rsidRPr="00F0732E">
        <w:rPr>
          <w:rFonts w:ascii="Cambria" w:hAnsi="Cambria"/>
          <w:b/>
          <w:sz w:val="28"/>
          <w:szCs w:val="28"/>
        </w:rPr>
        <w:t>4 noví frekventanti v Start-up kancelárii</w:t>
      </w:r>
      <w:r w:rsidRPr="00F0732E">
        <w:rPr>
          <w:rFonts w:ascii="Cambria" w:hAnsi="Cambria"/>
          <w:sz w:val="28"/>
          <w:szCs w:val="28"/>
        </w:rPr>
        <w:t>. V priestoroch inkubátora pôsobilo počas roka 8 inkubovaných firiem.</w:t>
      </w:r>
      <w:r w:rsidRPr="00F0732E">
        <w:rPr>
          <w:rFonts w:ascii="Cambria" w:hAnsi="Cambria"/>
          <w:b/>
          <w:sz w:val="28"/>
          <w:szCs w:val="28"/>
        </w:rPr>
        <w:t xml:space="preserve"> </w:t>
      </w:r>
    </w:p>
    <w:p w:rsidR="00B51749" w:rsidRPr="00F0732E" w:rsidRDefault="00B51749" w:rsidP="00B51749">
      <w:pPr>
        <w:pStyle w:val="Bezriadkovania"/>
        <w:jc w:val="both"/>
        <w:rPr>
          <w:rStyle w:val="Siln"/>
          <w:rFonts w:ascii="Cambria" w:hAnsi="Cambria"/>
          <w:color w:val="FF0000"/>
          <w:sz w:val="28"/>
          <w:szCs w:val="28"/>
        </w:rPr>
      </w:pPr>
    </w:p>
    <w:p w:rsidR="0000089C" w:rsidRDefault="00B51749" w:rsidP="00B51749">
      <w:pPr>
        <w:pStyle w:val="Default"/>
        <w:jc w:val="both"/>
        <w:rPr>
          <w:rFonts w:ascii="Cambria" w:hAnsi="Cambria" w:cs="Times New Roman"/>
          <w:color w:val="FF0000"/>
          <w:sz w:val="28"/>
          <w:szCs w:val="28"/>
          <w:lang w:val="sk-SK"/>
        </w:rPr>
      </w:pPr>
      <w:r w:rsidRPr="00F0732E">
        <w:rPr>
          <w:rFonts w:ascii="Cambria" w:hAnsi="Cambria"/>
          <w:color w:val="auto"/>
          <w:sz w:val="28"/>
          <w:szCs w:val="28"/>
          <w:lang w:val="sk-SK"/>
        </w:rPr>
        <w:t> </w:t>
      </w:r>
      <w:r w:rsidRPr="0000089C">
        <w:rPr>
          <w:rFonts w:ascii="Cambria" w:hAnsi="Cambria" w:cs="Times New Roman"/>
          <w:color w:val="auto"/>
          <w:sz w:val="28"/>
          <w:szCs w:val="28"/>
          <w:lang w:val="sk-SK"/>
        </w:rPr>
        <w:t xml:space="preserve">V oblasti zamestnanosti sa </w:t>
      </w:r>
      <w:r w:rsidR="00E87698" w:rsidRPr="0000089C">
        <w:rPr>
          <w:rFonts w:ascii="Cambria" w:hAnsi="Cambria" w:cs="Times New Roman"/>
          <w:color w:val="auto"/>
          <w:sz w:val="28"/>
          <w:szCs w:val="28"/>
          <w:lang w:val="sk-SK"/>
        </w:rPr>
        <w:t xml:space="preserve">podľa údajov za celé sledované obdobie roka 2014 </w:t>
      </w:r>
      <w:r w:rsidRPr="0000089C">
        <w:rPr>
          <w:rFonts w:ascii="Cambria" w:hAnsi="Cambria" w:cs="Times New Roman"/>
          <w:color w:val="auto"/>
          <w:sz w:val="28"/>
          <w:szCs w:val="28"/>
          <w:lang w:val="sk-SK"/>
        </w:rPr>
        <w:t xml:space="preserve">medziročne znížil celkový </w:t>
      </w:r>
      <w:r w:rsidRPr="0000089C">
        <w:rPr>
          <w:rFonts w:ascii="Cambria" w:hAnsi="Cambria" w:cs="Times New Roman"/>
          <w:b/>
          <w:color w:val="auto"/>
          <w:sz w:val="28"/>
          <w:szCs w:val="28"/>
          <w:lang w:val="sk-SK"/>
        </w:rPr>
        <w:t>počet zamestnancov univerzity</w:t>
      </w:r>
      <w:r w:rsidRPr="0000089C">
        <w:rPr>
          <w:rFonts w:ascii="Cambria" w:hAnsi="Cambria" w:cs="Times New Roman"/>
          <w:color w:val="auto"/>
          <w:sz w:val="28"/>
          <w:szCs w:val="28"/>
          <w:lang w:val="sk-SK"/>
        </w:rPr>
        <w:t xml:space="preserve">, pričom došlo aj k zníženiu počtu </w:t>
      </w:r>
      <w:r w:rsidRPr="0000089C">
        <w:rPr>
          <w:rFonts w:ascii="Cambria" w:hAnsi="Cambria" w:cs="Times New Roman"/>
          <w:b/>
          <w:color w:val="auto"/>
          <w:sz w:val="28"/>
          <w:szCs w:val="28"/>
          <w:lang w:val="sk-SK"/>
        </w:rPr>
        <w:t>vysokoškolských učiteľov a</w:t>
      </w:r>
      <w:r w:rsidR="007D7739">
        <w:rPr>
          <w:rFonts w:ascii="Cambria" w:hAnsi="Cambria" w:cs="Times New Roman"/>
          <w:b/>
          <w:color w:val="auto"/>
          <w:sz w:val="28"/>
          <w:szCs w:val="28"/>
          <w:lang w:val="sk-SK"/>
        </w:rPr>
        <w:t> </w:t>
      </w:r>
      <w:r w:rsidRPr="0000089C">
        <w:rPr>
          <w:rFonts w:ascii="Cambria" w:hAnsi="Cambria" w:cs="Times New Roman"/>
          <w:b/>
          <w:color w:val="auto"/>
          <w:sz w:val="28"/>
          <w:szCs w:val="28"/>
          <w:lang w:val="sk-SK"/>
        </w:rPr>
        <w:t>vedecko</w:t>
      </w:r>
      <w:r w:rsidR="007D7739">
        <w:rPr>
          <w:rFonts w:ascii="Cambria" w:hAnsi="Cambria" w:cs="Times New Roman"/>
          <w:b/>
          <w:color w:val="auto"/>
          <w:sz w:val="28"/>
          <w:szCs w:val="28"/>
          <w:lang w:val="sk-SK"/>
        </w:rPr>
        <w:softHyphen/>
      </w:r>
      <w:r w:rsidRPr="0000089C">
        <w:rPr>
          <w:rFonts w:ascii="Cambria" w:hAnsi="Cambria" w:cs="Times New Roman"/>
          <w:b/>
          <w:color w:val="auto"/>
          <w:sz w:val="28"/>
          <w:szCs w:val="28"/>
          <w:lang w:val="sk-SK"/>
        </w:rPr>
        <w:t xml:space="preserve">výskumných pracovníkov. </w:t>
      </w:r>
      <w:r w:rsidR="0000089C">
        <w:rPr>
          <w:rFonts w:ascii="Cambria" w:hAnsi="Cambria" w:cs="Times New Roman"/>
          <w:b/>
          <w:color w:val="auto"/>
          <w:sz w:val="28"/>
          <w:szCs w:val="28"/>
          <w:lang w:val="sk-SK"/>
        </w:rPr>
        <w:t>Zastavil sa tak</w:t>
      </w:r>
      <w:r w:rsidRPr="0000089C">
        <w:rPr>
          <w:rFonts w:ascii="Cambria" w:hAnsi="Cambria" w:cs="Times New Roman"/>
          <w:b/>
          <w:color w:val="auto"/>
          <w:sz w:val="28"/>
          <w:szCs w:val="28"/>
          <w:lang w:val="sk-SK"/>
        </w:rPr>
        <w:t xml:space="preserve"> trend</w:t>
      </w:r>
      <w:r w:rsidR="0000089C" w:rsidRPr="0000089C">
        <w:rPr>
          <w:rFonts w:ascii="Cambria" w:hAnsi="Cambria" w:cs="Times New Roman"/>
          <w:b/>
          <w:color w:val="auto"/>
          <w:sz w:val="28"/>
          <w:szCs w:val="28"/>
          <w:lang w:val="sk-SK"/>
        </w:rPr>
        <w:t xml:space="preserve"> z predošlých rokov</w:t>
      </w:r>
      <w:r w:rsidRPr="0000089C">
        <w:rPr>
          <w:rFonts w:ascii="Cambria" w:hAnsi="Cambria" w:cs="Times New Roman"/>
          <w:b/>
          <w:color w:val="auto"/>
          <w:sz w:val="28"/>
          <w:szCs w:val="28"/>
          <w:lang w:val="sk-SK"/>
        </w:rPr>
        <w:t xml:space="preserve">, keď na škole síce klesal počet zamestnancov, ale </w:t>
      </w:r>
      <w:r w:rsidR="0000089C" w:rsidRPr="0000089C">
        <w:rPr>
          <w:rFonts w:ascii="Cambria" w:hAnsi="Cambria" w:cs="Times New Roman"/>
          <w:b/>
          <w:color w:val="auto"/>
          <w:sz w:val="28"/>
          <w:szCs w:val="28"/>
          <w:lang w:val="sk-SK"/>
        </w:rPr>
        <w:t xml:space="preserve">nedialo sa tak na </w:t>
      </w:r>
      <w:r w:rsidRPr="0000089C">
        <w:rPr>
          <w:rFonts w:ascii="Cambria" w:hAnsi="Cambria" w:cs="Times New Roman"/>
          <w:b/>
          <w:color w:val="auto"/>
          <w:sz w:val="28"/>
          <w:szCs w:val="28"/>
          <w:lang w:val="sk-SK"/>
        </w:rPr>
        <w:t>úkor učiteľov a výskumných pracovníkov.</w:t>
      </w:r>
      <w:r w:rsidRPr="00F0732E">
        <w:rPr>
          <w:rFonts w:ascii="Cambria" w:hAnsi="Cambria" w:cs="Times New Roman"/>
          <w:color w:val="auto"/>
          <w:sz w:val="28"/>
          <w:szCs w:val="28"/>
          <w:lang w:val="sk-SK"/>
        </w:rPr>
        <w:t xml:space="preserve"> </w:t>
      </w:r>
      <w:r w:rsidR="0000089C">
        <w:rPr>
          <w:rFonts w:ascii="Cambria" w:hAnsi="Cambria" w:cs="Times New Roman"/>
          <w:color w:val="auto"/>
          <w:sz w:val="28"/>
          <w:szCs w:val="28"/>
          <w:lang w:val="sk-SK"/>
        </w:rPr>
        <w:t xml:space="preserve"> Pri celkovom poklese zamestnancov v predošlých rokoch rástol počet vedeckých pracovníkov a učiteľov.</w:t>
      </w: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V roku 2014 bol priemerný počet zamestnancov na STU 2 935, z</w:t>
      </w:r>
      <w:r w:rsidR="006D127C">
        <w:rPr>
          <w:rFonts w:ascii="Cambria" w:hAnsi="Cambria" w:cs="Times New Roman"/>
          <w:color w:val="auto"/>
          <w:sz w:val="28"/>
          <w:szCs w:val="28"/>
          <w:lang w:val="sk-SK"/>
        </w:rPr>
        <w:t> </w:t>
      </w:r>
      <w:r w:rsidRPr="00F0732E">
        <w:rPr>
          <w:rFonts w:ascii="Cambria" w:hAnsi="Cambria" w:cs="Times New Roman"/>
          <w:color w:val="auto"/>
          <w:sz w:val="28"/>
          <w:szCs w:val="28"/>
          <w:lang w:val="sk-SK"/>
        </w:rPr>
        <w:t>toho</w:t>
      </w:r>
      <w:r w:rsidR="006D127C">
        <w:rPr>
          <w:rFonts w:ascii="Cambria" w:hAnsi="Cambria" w:cs="Times New Roman"/>
          <w:color w:val="auto"/>
          <w:sz w:val="28"/>
          <w:szCs w:val="28"/>
          <w:lang w:val="sk-SK"/>
        </w:rPr>
        <w:t xml:space="preserve"> počtu</w:t>
      </w:r>
      <w:r w:rsidRPr="00F0732E">
        <w:rPr>
          <w:rFonts w:ascii="Cambria" w:hAnsi="Cambria" w:cs="Times New Roman"/>
          <w:color w:val="auto"/>
          <w:sz w:val="28"/>
          <w:szCs w:val="28"/>
          <w:lang w:val="sk-SK"/>
        </w:rPr>
        <w:t xml:space="preserve"> bolo 1 158 vysokoškolských učiteľov a 438 vedeckovýskumných </w:t>
      </w:r>
      <w:r w:rsidR="006119D5" w:rsidRPr="0000089C">
        <w:rPr>
          <w:rFonts w:ascii="Cambria" w:hAnsi="Cambria" w:cs="Times New Roman"/>
          <w:color w:val="auto"/>
          <w:sz w:val="28"/>
          <w:szCs w:val="28"/>
          <w:lang w:val="sk-SK"/>
        </w:rPr>
        <w:t>pracovníkov</w:t>
      </w:r>
      <w:r w:rsidRPr="0000089C">
        <w:rPr>
          <w:rFonts w:ascii="Cambria" w:hAnsi="Cambria" w:cs="Times New Roman"/>
          <w:color w:val="auto"/>
          <w:sz w:val="28"/>
          <w:szCs w:val="28"/>
          <w:lang w:val="sk-SK"/>
        </w:rPr>
        <w:t>.</w:t>
      </w:r>
      <w:r w:rsidRPr="00F0732E">
        <w:rPr>
          <w:rFonts w:ascii="Cambria" w:hAnsi="Cambria" w:cs="Times New Roman"/>
          <w:color w:val="auto"/>
          <w:sz w:val="28"/>
          <w:szCs w:val="28"/>
          <w:lang w:val="sk-SK"/>
        </w:rPr>
        <w:t xml:space="preserve"> Pre porovnanie </w:t>
      </w:r>
      <w:r w:rsidR="00542541">
        <w:rPr>
          <w:rFonts w:ascii="Cambria" w:hAnsi="Cambria" w:cs="Times New Roman"/>
          <w:color w:val="auto"/>
          <w:sz w:val="28"/>
          <w:szCs w:val="28"/>
          <w:lang w:val="sk-SK"/>
        </w:rPr>
        <w:t>–</w:t>
      </w:r>
      <w:r w:rsidRPr="00F0732E">
        <w:rPr>
          <w:rFonts w:ascii="Cambria" w:hAnsi="Cambria" w:cs="Times New Roman"/>
          <w:color w:val="auto"/>
          <w:sz w:val="28"/>
          <w:szCs w:val="28"/>
          <w:lang w:val="sk-SK"/>
        </w:rPr>
        <w:t xml:space="preserve"> v roku 2013 bol priemerný počet </w:t>
      </w:r>
      <w:r w:rsidRPr="00F0732E">
        <w:rPr>
          <w:rFonts w:ascii="Cambria" w:hAnsi="Cambria" w:cs="Times New Roman"/>
          <w:color w:val="auto"/>
          <w:sz w:val="28"/>
          <w:szCs w:val="28"/>
          <w:lang w:val="sk-SK"/>
        </w:rPr>
        <w:lastRenderedPageBreak/>
        <w:t xml:space="preserve">zamestnancov na STU 2 998, z toho bolo 1 175 vysokoškolských učiteľov a 450 vedeckovýskumných pracovníkov. </w:t>
      </w:r>
    </w:p>
    <w:p w:rsidR="00B51749" w:rsidRPr="00F0732E" w:rsidRDefault="00B51749" w:rsidP="00B51749">
      <w:pPr>
        <w:pStyle w:val="Default"/>
        <w:jc w:val="both"/>
        <w:rPr>
          <w:rFonts w:ascii="Cambria" w:hAnsi="Cambria" w:cs="Times New Roman"/>
          <w:b/>
          <w:color w:val="auto"/>
          <w:sz w:val="28"/>
          <w:szCs w:val="28"/>
          <w:lang w:val="sk-SK"/>
        </w:rPr>
      </w:pPr>
      <w:r w:rsidRPr="00F0732E">
        <w:rPr>
          <w:rFonts w:ascii="Cambria" w:hAnsi="Cambria" w:cs="Times New Roman"/>
          <w:color w:val="auto"/>
          <w:sz w:val="28"/>
          <w:szCs w:val="28"/>
          <w:lang w:val="sk-SK"/>
        </w:rPr>
        <w:t xml:space="preserve">Pokles počtu zamestnancov je dôsledkom znižovania dotácie pre </w:t>
      </w:r>
      <w:r w:rsidR="00BE4256" w:rsidRPr="00F0732E">
        <w:rPr>
          <w:rFonts w:ascii="Cambria" w:hAnsi="Cambria" w:cs="Times New Roman"/>
          <w:color w:val="auto"/>
          <w:sz w:val="28"/>
          <w:szCs w:val="28"/>
          <w:lang w:val="sk-SK"/>
        </w:rPr>
        <w:t>vysoké</w:t>
      </w:r>
      <w:r w:rsidRPr="00F0732E">
        <w:rPr>
          <w:rFonts w:ascii="Cambria" w:hAnsi="Cambria" w:cs="Times New Roman"/>
          <w:color w:val="auto"/>
          <w:sz w:val="28"/>
          <w:szCs w:val="28"/>
          <w:lang w:val="sk-SK"/>
        </w:rPr>
        <w:t xml:space="preserve"> školy a tiež rozpočtového provizória, ktoré na vysokých školách trvalo počas prvých mesiacov roka 2014. </w:t>
      </w:r>
    </w:p>
    <w:p w:rsidR="00B51749" w:rsidRPr="00F0732E" w:rsidRDefault="00B51749" w:rsidP="00B51749">
      <w:pPr>
        <w:rPr>
          <w:sz w:val="28"/>
          <w:szCs w:val="28"/>
        </w:rPr>
      </w:pPr>
    </w:p>
    <w:p w:rsidR="00B51749" w:rsidRPr="00F0732E" w:rsidRDefault="00B51749" w:rsidP="00B51749">
      <w:pPr>
        <w:rPr>
          <w:b/>
          <w:bCs/>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3" w:name="_Toc413009306"/>
      <w:r w:rsidRPr="00F0732E">
        <w:rPr>
          <w:rFonts w:ascii="Cambria" w:hAnsi="Cambria"/>
          <w:color w:val="auto"/>
          <w:sz w:val="28"/>
          <w:szCs w:val="28"/>
        </w:rPr>
        <w:t>Informácie o poskytovanom vysokoškolskom vzdelávaní</w:t>
      </w:r>
      <w:bookmarkEnd w:id="3"/>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Štúdium na STU je v súlade s Bolonskou deklaráciou trojstupňové s uplatňovaním kreditového systému hodnotenia výsledkov štúdia. V zmysle zákona č. 131/2002 Z. z. o vysokých školách a o zmene a doplnení niektorých zákonov v znení neskorších úprav uskutočňuje STU vzdelávanie len v študijných programoch, ktorým boli m</w:t>
      </w:r>
      <w:r w:rsidRPr="00F0732E">
        <w:rPr>
          <w:sz w:val="28"/>
          <w:szCs w:val="28"/>
          <w:shd w:val="clear" w:color="auto" w:fill="FFFFFF"/>
        </w:rPr>
        <w:t xml:space="preserve">inistrom školstva, vedy, výskumu a športu Slovenskej republiky priznané práva udeľovať akademické tituly v príslušnom stupni a forme štúdia. </w:t>
      </w:r>
    </w:p>
    <w:p w:rsidR="00B51749" w:rsidRPr="00F0732E" w:rsidRDefault="00B51749" w:rsidP="00B51749">
      <w:pPr>
        <w:tabs>
          <w:tab w:val="left" w:pos="4140"/>
        </w:tabs>
        <w:rPr>
          <w:sz w:val="28"/>
          <w:szCs w:val="28"/>
        </w:rPr>
      </w:pPr>
      <w:r w:rsidRPr="00F0732E">
        <w:rPr>
          <w:sz w:val="28"/>
          <w:szCs w:val="28"/>
        </w:rPr>
        <w:t xml:space="preserve">Obsah študijných programov je systematicky inovovaný na základe aktuálnych výsledkov výskumnej a tvorivej činnosti, ako aj požiadaviek a záujmov spoločenskej praxe. </w:t>
      </w:r>
    </w:p>
    <w:p w:rsidR="00B51749" w:rsidRPr="00F0732E" w:rsidRDefault="00B51749" w:rsidP="00B51749">
      <w:pPr>
        <w:rPr>
          <w:b/>
          <w:bCs/>
          <w:color w:val="FF0000"/>
          <w:sz w:val="28"/>
          <w:szCs w:val="28"/>
        </w:rPr>
      </w:pPr>
    </w:p>
    <w:p w:rsidR="00B51749" w:rsidRPr="00F0732E" w:rsidRDefault="00B51749" w:rsidP="00B51749">
      <w:pPr>
        <w:rPr>
          <w:b/>
          <w:bCs/>
          <w:color w:val="FF0000"/>
          <w:sz w:val="28"/>
          <w:szCs w:val="28"/>
        </w:rPr>
      </w:pPr>
    </w:p>
    <w:p w:rsidR="00B51749" w:rsidRPr="00F0732E" w:rsidRDefault="00B51749" w:rsidP="00B51749">
      <w:pPr>
        <w:pStyle w:val="Nadpis2"/>
        <w:rPr>
          <w:rFonts w:ascii="Cambria" w:hAnsi="Cambria"/>
          <w:color w:val="auto"/>
        </w:rPr>
      </w:pPr>
      <w:bookmarkStart w:id="4" w:name="_Toc413009307"/>
      <w:r w:rsidRPr="00F0732E">
        <w:rPr>
          <w:rFonts w:ascii="Cambria" w:hAnsi="Cambria"/>
          <w:color w:val="auto"/>
        </w:rPr>
        <w:t>Študijné programy na STU</w:t>
      </w:r>
      <w:bookmarkEnd w:id="4"/>
    </w:p>
    <w:p w:rsidR="00B51749" w:rsidRPr="00F0732E" w:rsidRDefault="00B51749" w:rsidP="00B51749">
      <w:pPr>
        <w:rPr>
          <w:rFonts w:cs="Calibri"/>
          <w:sz w:val="28"/>
          <w:szCs w:val="28"/>
        </w:rPr>
      </w:pPr>
      <w:r w:rsidRPr="00F0732E">
        <w:rPr>
          <w:rFonts w:cs="Calibri"/>
          <w:sz w:val="28"/>
          <w:szCs w:val="28"/>
        </w:rPr>
        <w:t>Základný počet a štruktúra ŠP s platnou akreditáciou v akademickom roku 2013/14 (podľa stupňov štúdia) na jednotlivých fakultách a STU je v Tabuľke 3.1. (je uvedená len štruktúra dennej formy).</w:t>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rPr>
          <w:rFonts w:cs="Calibri"/>
          <w:b/>
          <w:sz w:val="28"/>
          <w:szCs w:val="28"/>
        </w:rPr>
      </w:pPr>
      <w:r w:rsidRPr="00F0732E">
        <w:rPr>
          <w:b/>
          <w:sz w:val="28"/>
          <w:szCs w:val="28"/>
        </w:rPr>
        <w:t>Tabuľka 3.1:</w:t>
      </w:r>
      <w:r w:rsidRPr="00F0732E">
        <w:rPr>
          <w:b/>
          <w:color w:val="FF0000"/>
          <w:sz w:val="28"/>
          <w:szCs w:val="28"/>
        </w:rPr>
        <w:t xml:space="preserve"> </w:t>
      </w:r>
      <w:r w:rsidRPr="00F0732E">
        <w:rPr>
          <w:rFonts w:cs="Calibri"/>
          <w:b/>
          <w:sz w:val="28"/>
          <w:szCs w:val="28"/>
        </w:rPr>
        <w:t>Počty študijných programov – priznané práva a realizované študijné programy v akad. roku 2013/14</w:t>
      </w:r>
    </w:p>
    <w:tbl>
      <w:tblPr>
        <w:tblW w:w="9583" w:type="dxa"/>
        <w:tblInd w:w="55" w:type="dxa"/>
        <w:tblCellMar>
          <w:left w:w="70" w:type="dxa"/>
          <w:right w:w="70" w:type="dxa"/>
        </w:tblCellMar>
        <w:tblLook w:val="04A0" w:firstRow="1" w:lastRow="0" w:firstColumn="1" w:lastColumn="0" w:noHBand="0" w:noVBand="1"/>
      </w:tblPr>
      <w:tblGrid>
        <w:gridCol w:w="1223"/>
        <w:gridCol w:w="1098"/>
        <w:gridCol w:w="1220"/>
        <w:gridCol w:w="905"/>
        <w:gridCol w:w="1236"/>
        <w:gridCol w:w="899"/>
        <w:gridCol w:w="1220"/>
        <w:gridCol w:w="962"/>
        <w:gridCol w:w="1220"/>
      </w:tblGrid>
      <w:tr w:rsidR="00B51749" w:rsidRPr="00F0732E" w:rsidTr="00447572">
        <w:trPr>
          <w:trHeight w:val="255"/>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Fakulta</w:t>
            </w:r>
          </w:p>
        </w:tc>
        <w:tc>
          <w:tcPr>
            <w:tcW w:w="8335" w:type="dxa"/>
            <w:gridSpan w:val="8"/>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Počty študijných programov - priznané práva a realizované v akad. roku 2013/14</w:t>
            </w:r>
          </w:p>
        </w:tc>
      </w:tr>
      <w:tr w:rsidR="00B51749" w:rsidRPr="00F0732E" w:rsidTr="00447572">
        <w:trPr>
          <w:trHeight w:val="435"/>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p>
        </w:tc>
        <w:tc>
          <w:tcPr>
            <w:tcW w:w="2193"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Bc.</w:t>
            </w:r>
          </w:p>
        </w:tc>
        <w:tc>
          <w:tcPr>
            <w:tcW w:w="2141"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Ing./Mgr.</w:t>
            </w:r>
          </w:p>
        </w:tc>
        <w:tc>
          <w:tcPr>
            <w:tcW w:w="1944"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PhD.</w:t>
            </w:r>
          </w:p>
        </w:tc>
        <w:tc>
          <w:tcPr>
            <w:tcW w:w="2057"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Σ</w:t>
            </w:r>
          </w:p>
        </w:tc>
      </w:tr>
      <w:tr w:rsidR="00B51749" w:rsidRPr="00F0732E" w:rsidTr="00447572">
        <w:trPr>
          <w:trHeight w:val="435"/>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p>
        </w:tc>
        <w:tc>
          <w:tcPr>
            <w:tcW w:w="1098"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priznané práva</w:t>
            </w:r>
          </w:p>
        </w:tc>
        <w:tc>
          <w:tcPr>
            <w:tcW w:w="1095"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realizované</w:t>
            </w:r>
          </w:p>
        </w:tc>
        <w:tc>
          <w:tcPr>
            <w:tcW w:w="905"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priznané práva</w:t>
            </w:r>
          </w:p>
        </w:tc>
        <w:tc>
          <w:tcPr>
            <w:tcW w:w="1236"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realizované</w:t>
            </w:r>
          </w:p>
        </w:tc>
        <w:tc>
          <w:tcPr>
            <w:tcW w:w="844"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priznané práva</w:t>
            </w:r>
          </w:p>
        </w:tc>
        <w:tc>
          <w:tcPr>
            <w:tcW w:w="1100"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realizované</w:t>
            </w:r>
          </w:p>
        </w:tc>
        <w:tc>
          <w:tcPr>
            <w:tcW w:w="962"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priznané práva</w:t>
            </w:r>
          </w:p>
        </w:tc>
        <w:tc>
          <w:tcPr>
            <w:tcW w:w="1095"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realizované</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SvF</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13</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13</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9</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9</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30</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leftChars="-1" w:hangingChars="1" w:hanging="2"/>
              <w:jc w:val="center"/>
              <w:rPr>
                <w:rFonts w:eastAsia="Times New Roman" w:cs="Arial"/>
                <w:sz w:val="20"/>
                <w:szCs w:val="20"/>
                <w:lang w:eastAsia="sk-SK"/>
              </w:rPr>
            </w:pPr>
            <w:r w:rsidRPr="00F0732E">
              <w:rPr>
                <w:rFonts w:eastAsia="Times New Roman" w:cs="Arial"/>
                <w:sz w:val="20"/>
                <w:szCs w:val="20"/>
                <w:lang w:eastAsia="sk-SK"/>
              </w:rPr>
              <w:t>30</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SjF</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7</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11</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10</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31</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29</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FEI</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10</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9</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17</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14</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35</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39</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FCHPT</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16</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16</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40</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34</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FA</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3</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12</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lastRenderedPageBreak/>
              <w:t>MTF</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9</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9</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11</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10</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8</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28</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leftChars="-1" w:hangingChars="1" w:hanging="2"/>
              <w:jc w:val="center"/>
              <w:rPr>
                <w:rFonts w:eastAsia="Times New Roman" w:cs="Arial"/>
                <w:sz w:val="20"/>
                <w:szCs w:val="20"/>
                <w:lang w:eastAsia="sk-SK"/>
              </w:rPr>
            </w:pPr>
            <w:r w:rsidRPr="00F0732E">
              <w:rPr>
                <w:rFonts w:eastAsia="Times New Roman" w:cs="Arial"/>
                <w:sz w:val="20"/>
                <w:szCs w:val="20"/>
                <w:lang w:eastAsia="sk-SK"/>
              </w:rPr>
              <w:t>27</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FIIT</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5</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4</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5</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13</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11</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Univerzitné (ÚM)</w:t>
            </w:r>
          </w:p>
        </w:tc>
        <w:tc>
          <w:tcPr>
            <w:tcW w:w="109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w:t>
            </w:r>
          </w:p>
        </w:tc>
        <w:tc>
          <w:tcPr>
            <w:tcW w:w="905"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w:t>
            </w:r>
          </w:p>
        </w:tc>
        <w:tc>
          <w:tcPr>
            <w:tcW w:w="844"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2</w:t>
            </w:r>
          </w:p>
        </w:tc>
        <w:tc>
          <w:tcPr>
            <w:tcW w:w="96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4</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4</w:t>
            </w:r>
          </w:p>
        </w:tc>
      </w:tr>
      <w:tr w:rsidR="00B51749" w:rsidRPr="00F0732E" w:rsidTr="00447572">
        <w:trPr>
          <w:trHeight w:val="255"/>
        </w:trPr>
        <w:tc>
          <w:tcPr>
            <w:tcW w:w="1248" w:type="dxa"/>
            <w:tcBorders>
              <w:top w:val="nil"/>
              <w:left w:val="single" w:sz="4" w:space="0" w:color="auto"/>
              <w:bottom w:val="single" w:sz="4" w:space="0" w:color="auto"/>
              <w:right w:val="single" w:sz="4" w:space="0" w:color="auto"/>
            </w:tcBorders>
            <w:shd w:val="clear" w:color="auto" w:fill="BFBFBF"/>
            <w:vAlign w:val="center"/>
            <w:hideMark/>
          </w:tcPr>
          <w:p w:rsidR="00B51749" w:rsidRPr="00F0732E" w:rsidRDefault="00B51749" w:rsidP="00447572">
            <w:pPr>
              <w:rPr>
                <w:rFonts w:eastAsia="Times New Roman" w:cs="Arial"/>
                <w:b/>
                <w:bCs/>
                <w:sz w:val="20"/>
                <w:szCs w:val="20"/>
                <w:lang w:eastAsia="sk-SK"/>
              </w:rPr>
            </w:pPr>
            <w:r w:rsidRPr="00F0732E">
              <w:rPr>
                <w:rFonts w:eastAsia="Times New Roman" w:cs="Arial"/>
                <w:b/>
                <w:bCs/>
                <w:sz w:val="20"/>
                <w:szCs w:val="20"/>
                <w:lang w:eastAsia="sk-SK"/>
              </w:rPr>
              <w:t>STU</w:t>
            </w:r>
          </w:p>
        </w:tc>
        <w:tc>
          <w:tcPr>
            <w:tcW w:w="1098"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54</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44</w:t>
            </w:r>
          </w:p>
        </w:tc>
        <w:tc>
          <w:tcPr>
            <w:tcW w:w="90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68</w:t>
            </w:r>
          </w:p>
        </w:tc>
        <w:tc>
          <w:tcPr>
            <w:tcW w:w="123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65</w:t>
            </w:r>
          </w:p>
        </w:tc>
        <w:tc>
          <w:tcPr>
            <w:tcW w:w="844"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71</w:t>
            </w:r>
          </w:p>
        </w:tc>
        <w:tc>
          <w:tcPr>
            <w:tcW w:w="11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67</w:t>
            </w:r>
          </w:p>
        </w:tc>
        <w:tc>
          <w:tcPr>
            <w:tcW w:w="962"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sz w:val="20"/>
                <w:szCs w:val="20"/>
                <w:lang w:eastAsia="sk-SK"/>
              </w:rPr>
            </w:pPr>
            <w:r w:rsidRPr="00F0732E">
              <w:rPr>
                <w:rFonts w:eastAsia="Times New Roman" w:cs="Arial"/>
                <w:sz w:val="20"/>
                <w:szCs w:val="20"/>
                <w:lang w:eastAsia="sk-SK"/>
              </w:rPr>
              <w:t>193</w:t>
            </w:r>
          </w:p>
        </w:tc>
        <w:tc>
          <w:tcPr>
            <w:tcW w:w="1095"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0"/>
                <w:szCs w:val="20"/>
                <w:lang w:eastAsia="sk-SK"/>
              </w:rPr>
            </w:pPr>
            <w:r w:rsidRPr="00F0732E">
              <w:rPr>
                <w:rFonts w:eastAsia="Times New Roman" w:cs="Arial"/>
                <w:b/>
                <w:bCs/>
                <w:sz w:val="20"/>
                <w:szCs w:val="20"/>
                <w:lang w:eastAsia="sk-SK"/>
              </w:rPr>
              <w:t>176</w:t>
            </w:r>
          </w:p>
        </w:tc>
      </w:tr>
    </w:tbl>
    <w:p w:rsidR="00B51749" w:rsidRPr="00F0732E" w:rsidRDefault="00B51749" w:rsidP="00B51749">
      <w:pPr>
        <w:rPr>
          <w:rFonts w:eastAsia="Times New Roman" w:cs="Arial"/>
          <w:sz w:val="20"/>
          <w:szCs w:val="20"/>
          <w:lang w:eastAsia="sk-SK"/>
        </w:rPr>
      </w:pPr>
      <w:r w:rsidRPr="00F0732E">
        <w:rPr>
          <w:rFonts w:eastAsia="Times New Roman" w:cs="Arial"/>
          <w:sz w:val="20"/>
          <w:szCs w:val="20"/>
          <w:lang w:eastAsia="sk-SK"/>
        </w:rPr>
        <w:t>Stav k 31.8.2013</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V akademickom roku 2013/2014 sa realizovala výučba celkovo v </w:t>
      </w:r>
      <w:r w:rsidRPr="00F0732E">
        <w:rPr>
          <w:rFonts w:cs="Calibri"/>
          <w:b/>
          <w:sz w:val="28"/>
          <w:szCs w:val="28"/>
        </w:rPr>
        <w:t>176 študijných programoch</w:t>
      </w:r>
      <w:r w:rsidRPr="00F0732E">
        <w:rPr>
          <w:rFonts w:cs="Calibri"/>
          <w:sz w:val="28"/>
          <w:szCs w:val="28"/>
        </w:rPr>
        <w:t xml:space="preserve"> (ďalej tiež „ŠP") v štruktúre: </w:t>
      </w:r>
      <w:r w:rsidRPr="00F0732E">
        <w:rPr>
          <w:rFonts w:cs="Calibri"/>
          <w:b/>
          <w:sz w:val="28"/>
          <w:szCs w:val="28"/>
        </w:rPr>
        <w:t>44 ŠP na I. stupni, 65 ŠP na II. stupni, 67 ŠP na III. stupni vysokoškolského vzdelávania</w:t>
      </w:r>
      <w:r w:rsidRPr="00F0732E">
        <w:rPr>
          <w:rFonts w:cs="Calibri"/>
          <w:sz w:val="28"/>
          <w:szCs w:val="28"/>
        </w:rPr>
        <w:t>. Z uvedenej štruktúry je zrejmá širšia ponuka a orientácia fakúlt na študijné programy druhého a tretieho stupňa. (</w:t>
      </w:r>
      <w:r w:rsidR="00914C68">
        <w:rPr>
          <w:rFonts w:cs="Calibri"/>
          <w:sz w:val="28"/>
          <w:szCs w:val="28"/>
        </w:rPr>
        <w:t>G</w:t>
      </w:r>
      <w:r w:rsidRPr="00F0732E">
        <w:rPr>
          <w:rFonts w:cs="Calibri"/>
          <w:sz w:val="28"/>
          <w:szCs w:val="28"/>
        </w:rPr>
        <w:t>raf 3.1)</w:t>
      </w:r>
    </w:p>
    <w:p w:rsidR="0000089C" w:rsidRPr="00F0732E" w:rsidRDefault="0000089C" w:rsidP="00B51749">
      <w:pPr>
        <w:rPr>
          <w:color w:val="FF0000"/>
          <w:sz w:val="28"/>
          <w:szCs w:val="28"/>
        </w:rPr>
      </w:pPr>
    </w:p>
    <w:p w:rsidR="00B51749" w:rsidRPr="00F0732E" w:rsidRDefault="00B51749" w:rsidP="00B51749">
      <w:pPr>
        <w:rPr>
          <w:rFonts w:cs="Calibri"/>
          <w:sz w:val="28"/>
          <w:szCs w:val="28"/>
        </w:rPr>
      </w:pPr>
      <w:r w:rsidRPr="00F0732E">
        <w:rPr>
          <w:b/>
          <w:sz w:val="28"/>
          <w:szCs w:val="28"/>
        </w:rPr>
        <w:t>Graf 3.1:</w:t>
      </w:r>
      <w:r w:rsidRPr="00F0732E">
        <w:rPr>
          <w:sz w:val="28"/>
          <w:szCs w:val="28"/>
        </w:rPr>
        <w:t xml:space="preserve"> </w:t>
      </w:r>
      <w:r w:rsidRPr="00F0732E">
        <w:rPr>
          <w:b/>
          <w:sz w:val="28"/>
          <w:szCs w:val="28"/>
        </w:rPr>
        <w:t>Š</w:t>
      </w:r>
      <w:r w:rsidR="00542541">
        <w:rPr>
          <w:b/>
          <w:sz w:val="28"/>
          <w:szCs w:val="28"/>
        </w:rPr>
        <w:t>tudijné programy – denná forma –</w:t>
      </w:r>
      <w:r w:rsidRPr="00F0732E">
        <w:rPr>
          <w:b/>
          <w:sz w:val="28"/>
          <w:szCs w:val="28"/>
        </w:rPr>
        <w:t xml:space="preserve"> v ktorých bola realizovaná výučba v akad. roku </w:t>
      </w:r>
      <w:r w:rsidRPr="00F0732E">
        <w:rPr>
          <w:rFonts w:cs="Calibri"/>
          <w:b/>
          <w:sz w:val="28"/>
          <w:szCs w:val="28"/>
        </w:rPr>
        <w:t>2013/2014</w:t>
      </w:r>
      <w:r w:rsidRPr="00F0732E">
        <w:rPr>
          <w:rFonts w:cs="Calibri"/>
          <w:sz w:val="28"/>
          <w:szCs w:val="28"/>
        </w:rPr>
        <w:t xml:space="preserve"> </w:t>
      </w:r>
    </w:p>
    <w:p w:rsidR="00B51749" w:rsidRPr="00F0732E" w:rsidRDefault="00B51749" w:rsidP="00B51749">
      <w:pPr>
        <w:rPr>
          <w:rFonts w:cs="Calibri"/>
          <w:sz w:val="28"/>
          <w:szCs w:val="28"/>
        </w:rPr>
      </w:pPr>
      <w:r>
        <w:rPr>
          <w:noProof/>
          <w:sz w:val="28"/>
          <w:szCs w:val="28"/>
          <w:lang w:eastAsia="sk-SK"/>
        </w:rPr>
        <w:drawing>
          <wp:inline distT="0" distB="0" distL="0" distR="0">
            <wp:extent cx="5035550" cy="2901950"/>
            <wp:effectExtent l="0" t="0" r="0" b="0"/>
            <wp:docPr id="45" name="Graf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Väčšina študijných programov na STU je realizovaná v slovenskom jazyku, najmä na prvom a druhom stupni. Na treťom stupni sú študijné programy realizované v slovenskom aj anglickom jazyku.</w:t>
      </w:r>
    </w:p>
    <w:p w:rsidR="00B51749" w:rsidRPr="00F0732E" w:rsidRDefault="00B51749" w:rsidP="00B51749">
      <w:pPr>
        <w:rPr>
          <w:rFonts w:cs="Calibri"/>
          <w:sz w:val="28"/>
          <w:szCs w:val="28"/>
        </w:rPr>
      </w:pPr>
      <w:r w:rsidRPr="00F0732E">
        <w:rPr>
          <w:rFonts w:cs="Calibri"/>
          <w:sz w:val="28"/>
          <w:szCs w:val="28"/>
        </w:rPr>
        <w:t>Celková ponuka študijných programov v cudzích jazykoch v akademickom roku 2013/014 na jednotlivých stupňoch štúdia je v Tabuľke 3.2:</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3.2: Prehľad študijných programov podľa jazyka, v ktorom boli realizované v akad. roku 2013/2014</w:t>
      </w:r>
    </w:p>
    <w:tbl>
      <w:tblPr>
        <w:tblW w:w="9151" w:type="dxa"/>
        <w:tblInd w:w="55" w:type="dxa"/>
        <w:tblCellMar>
          <w:left w:w="70" w:type="dxa"/>
          <w:right w:w="70" w:type="dxa"/>
        </w:tblCellMar>
        <w:tblLook w:val="04A0" w:firstRow="1" w:lastRow="0" w:firstColumn="1" w:lastColumn="0" w:noHBand="0" w:noVBand="1"/>
      </w:tblPr>
      <w:tblGrid>
        <w:gridCol w:w="1825"/>
        <w:gridCol w:w="1419"/>
        <w:gridCol w:w="994"/>
        <w:gridCol w:w="1440"/>
        <w:gridCol w:w="1011"/>
        <w:gridCol w:w="1406"/>
        <w:gridCol w:w="1056"/>
      </w:tblGrid>
      <w:tr w:rsidR="00B51749" w:rsidRPr="00F0732E" w:rsidTr="00447572">
        <w:trPr>
          <w:trHeight w:val="255"/>
        </w:trPr>
        <w:tc>
          <w:tcPr>
            <w:tcW w:w="1825" w:type="dxa"/>
            <w:vMerge w:val="restart"/>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jc w:val="right"/>
              <w:rPr>
                <w:rFonts w:eastAsia="Times New Roman" w:cs="Arial"/>
                <w:b/>
                <w:bCs/>
                <w:sz w:val="28"/>
                <w:szCs w:val="28"/>
                <w:lang w:eastAsia="sk-SK"/>
              </w:rPr>
            </w:pPr>
          </w:p>
        </w:tc>
        <w:tc>
          <w:tcPr>
            <w:tcW w:w="7326" w:type="dxa"/>
            <w:gridSpan w:val="6"/>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Študijný program</w:t>
            </w:r>
          </w:p>
        </w:tc>
      </w:tr>
      <w:tr w:rsidR="00B51749" w:rsidRPr="00F0732E" w:rsidTr="00447572">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jc w:val="right"/>
              <w:rPr>
                <w:rFonts w:eastAsia="Times New Roman" w:cs="Arial"/>
                <w:b/>
                <w:bCs/>
                <w:sz w:val="28"/>
                <w:szCs w:val="28"/>
                <w:lang w:eastAsia="sk-SK"/>
              </w:rPr>
            </w:pPr>
          </w:p>
        </w:tc>
        <w:tc>
          <w:tcPr>
            <w:tcW w:w="2413"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Bc.</w:t>
            </w:r>
          </w:p>
        </w:tc>
        <w:tc>
          <w:tcPr>
            <w:tcW w:w="2451"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Ing./Mgr.</w:t>
            </w:r>
          </w:p>
        </w:tc>
        <w:tc>
          <w:tcPr>
            <w:tcW w:w="2462" w:type="dxa"/>
            <w:gridSpan w:val="2"/>
            <w:tcBorders>
              <w:top w:val="single" w:sz="4" w:space="0" w:color="auto"/>
              <w:left w:val="nil"/>
              <w:bottom w:val="single" w:sz="4" w:space="0" w:color="auto"/>
              <w:right w:val="single" w:sz="4" w:space="0" w:color="000000"/>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PhD.</w:t>
            </w:r>
          </w:p>
        </w:tc>
      </w:tr>
      <w:tr w:rsidR="00B51749" w:rsidRPr="00F0732E" w:rsidTr="00447572">
        <w:trPr>
          <w:trHeight w:val="255"/>
        </w:trPr>
        <w:tc>
          <w:tcPr>
            <w:tcW w:w="1825"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Jazyk štúdia</w:t>
            </w:r>
          </w:p>
        </w:tc>
        <w:tc>
          <w:tcPr>
            <w:tcW w:w="1419" w:type="dxa"/>
            <w:tcBorders>
              <w:top w:val="nil"/>
              <w:left w:val="nil"/>
              <w:bottom w:val="single" w:sz="4" w:space="0" w:color="auto"/>
              <w:right w:val="single" w:sz="4" w:space="0" w:color="auto"/>
            </w:tcBorders>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slovenský jazyk</w:t>
            </w:r>
          </w:p>
        </w:tc>
        <w:tc>
          <w:tcPr>
            <w:tcW w:w="994" w:type="dxa"/>
            <w:tcBorders>
              <w:top w:val="nil"/>
              <w:left w:val="nil"/>
              <w:bottom w:val="single" w:sz="4" w:space="0" w:color="auto"/>
              <w:right w:val="single" w:sz="4" w:space="0" w:color="auto"/>
            </w:tcBorders>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cudzí jazyk</w:t>
            </w:r>
          </w:p>
        </w:tc>
        <w:tc>
          <w:tcPr>
            <w:tcW w:w="1440" w:type="dxa"/>
            <w:tcBorders>
              <w:top w:val="nil"/>
              <w:left w:val="nil"/>
              <w:bottom w:val="single" w:sz="4" w:space="0" w:color="auto"/>
              <w:right w:val="single" w:sz="4" w:space="0" w:color="auto"/>
            </w:tcBorders>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slovenský jazyk</w:t>
            </w:r>
          </w:p>
        </w:tc>
        <w:tc>
          <w:tcPr>
            <w:tcW w:w="1011" w:type="dxa"/>
            <w:tcBorders>
              <w:top w:val="nil"/>
              <w:left w:val="nil"/>
              <w:bottom w:val="single" w:sz="4" w:space="0" w:color="auto"/>
              <w:right w:val="single" w:sz="4" w:space="0" w:color="auto"/>
            </w:tcBorders>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cudzí jazyk</w:t>
            </w:r>
          </w:p>
        </w:tc>
        <w:tc>
          <w:tcPr>
            <w:tcW w:w="1406" w:type="dxa"/>
            <w:tcBorders>
              <w:top w:val="nil"/>
              <w:left w:val="nil"/>
              <w:bottom w:val="single" w:sz="4" w:space="0" w:color="auto"/>
              <w:right w:val="single" w:sz="4" w:space="0" w:color="auto"/>
            </w:tcBorders>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slovenský jazyk</w:t>
            </w:r>
          </w:p>
        </w:tc>
        <w:tc>
          <w:tcPr>
            <w:tcW w:w="1056" w:type="dxa"/>
            <w:tcBorders>
              <w:top w:val="nil"/>
              <w:left w:val="nil"/>
              <w:bottom w:val="single" w:sz="4" w:space="0" w:color="auto"/>
              <w:right w:val="single" w:sz="4" w:space="0" w:color="auto"/>
            </w:tcBorders>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cudzí jazyk</w:t>
            </w:r>
          </w:p>
        </w:tc>
      </w:tr>
      <w:tr w:rsidR="00B51749" w:rsidRPr="00F0732E" w:rsidTr="00447572">
        <w:trPr>
          <w:trHeight w:val="255"/>
        </w:trPr>
        <w:tc>
          <w:tcPr>
            <w:tcW w:w="1825"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lastRenderedPageBreak/>
              <w:t>STU (denná forma)</w:t>
            </w:r>
          </w:p>
        </w:tc>
        <w:tc>
          <w:tcPr>
            <w:tcW w:w="1419"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44</w:t>
            </w:r>
          </w:p>
        </w:tc>
        <w:tc>
          <w:tcPr>
            <w:tcW w:w="994"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8</w:t>
            </w:r>
          </w:p>
        </w:tc>
        <w:tc>
          <w:tcPr>
            <w:tcW w:w="1440"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65</w:t>
            </w:r>
          </w:p>
        </w:tc>
        <w:tc>
          <w:tcPr>
            <w:tcW w:w="1011"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w:t>
            </w:r>
          </w:p>
        </w:tc>
        <w:tc>
          <w:tcPr>
            <w:tcW w:w="1406"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67</w:t>
            </w:r>
          </w:p>
        </w:tc>
        <w:tc>
          <w:tcPr>
            <w:tcW w:w="1056"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w:t>
            </w:r>
          </w:p>
        </w:tc>
      </w:tr>
      <w:tr w:rsidR="00B51749" w:rsidRPr="00F0732E" w:rsidTr="00447572">
        <w:trPr>
          <w:trHeight w:val="255"/>
        </w:trPr>
        <w:tc>
          <w:tcPr>
            <w:tcW w:w="1825"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STU (externá forma)</w:t>
            </w:r>
          </w:p>
        </w:tc>
        <w:tc>
          <w:tcPr>
            <w:tcW w:w="1419"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6</w:t>
            </w:r>
          </w:p>
        </w:tc>
        <w:tc>
          <w:tcPr>
            <w:tcW w:w="994"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0</w:t>
            </w:r>
          </w:p>
        </w:tc>
        <w:tc>
          <w:tcPr>
            <w:tcW w:w="1440"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0</w:t>
            </w:r>
          </w:p>
        </w:tc>
        <w:tc>
          <w:tcPr>
            <w:tcW w:w="1011"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0</w:t>
            </w:r>
          </w:p>
        </w:tc>
        <w:tc>
          <w:tcPr>
            <w:tcW w:w="1406"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56</w:t>
            </w:r>
          </w:p>
        </w:tc>
        <w:tc>
          <w:tcPr>
            <w:tcW w:w="1056" w:type="dxa"/>
            <w:tcBorders>
              <w:top w:val="nil"/>
              <w:left w:val="nil"/>
              <w:bottom w:val="single" w:sz="4" w:space="0" w:color="auto"/>
              <w:right w:val="single" w:sz="4" w:space="0" w:color="auto"/>
            </w:tcBorders>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9</w:t>
            </w:r>
          </w:p>
        </w:tc>
      </w:tr>
      <w:tr w:rsidR="00B51749" w:rsidRPr="00F0732E" w:rsidTr="00447572">
        <w:trPr>
          <w:trHeight w:val="70"/>
        </w:trPr>
        <w:tc>
          <w:tcPr>
            <w:tcW w:w="1825" w:type="dxa"/>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Stav k 31.10.2013</w:t>
            </w:r>
          </w:p>
        </w:tc>
        <w:tc>
          <w:tcPr>
            <w:tcW w:w="1419" w:type="dxa"/>
            <w:noWrap/>
            <w:vAlign w:val="center"/>
            <w:hideMark/>
          </w:tcPr>
          <w:p w:rsidR="00B51749" w:rsidRPr="00F0732E" w:rsidRDefault="00B51749" w:rsidP="00447572">
            <w:pPr>
              <w:jc w:val="right"/>
              <w:rPr>
                <w:sz w:val="28"/>
                <w:szCs w:val="28"/>
                <w:lang w:eastAsia="sk-SK"/>
              </w:rPr>
            </w:pPr>
          </w:p>
        </w:tc>
        <w:tc>
          <w:tcPr>
            <w:tcW w:w="994" w:type="dxa"/>
            <w:noWrap/>
            <w:vAlign w:val="center"/>
            <w:hideMark/>
          </w:tcPr>
          <w:p w:rsidR="00B51749" w:rsidRPr="00F0732E" w:rsidRDefault="00B51749" w:rsidP="00447572">
            <w:pPr>
              <w:jc w:val="right"/>
              <w:rPr>
                <w:sz w:val="28"/>
                <w:szCs w:val="28"/>
                <w:lang w:eastAsia="sk-SK"/>
              </w:rPr>
            </w:pPr>
          </w:p>
        </w:tc>
        <w:tc>
          <w:tcPr>
            <w:tcW w:w="1440" w:type="dxa"/>
            <w:noWrap/>
            <w:vAlign w:val="center"/>
            <w:hideMark/>
          </w:tcPr>
          <w:p w:rsidR="00B51749" w:rsidRPr="00F0732E" w:rsidRDefault="00B51749" w:rsidP="00447572">
            <w:pPr>
              <w:jc w:val="right"/>
              <w:rPr>
                <w:sz w:val="28"/>
                <w:szCs w:val="28"/>
                <w:lang w:eastAsia="sk-SK"/>
              </w:rPr>
            </w:pPr>
          </w:p>
        </w:tc>
        <w:tc>
          <w:tcPr>
            <w:tcW w:w="1011" w:type="dxa"/>
            <w:noWrap/>
            <w:vAlign w:val="center"/>
            <w:hideMark/>
          </w:tcPr>
          <w:p w:rsidR="00B51749" w:rsidRPr="00F0732E" w:rsidRDefault="00B51749" w:rsidP="00447572">
            <w:pPr>
              <w:jc w:val="right"/>
              <w:rPr>
                <w:sz w:val="28"/>
                <w:szCs w:val="28"/>
                <w:lang w:eastAsia="sk-SK"/>
              </w:rPr>
            </w:pPr>
          </w:p>
        </w:tc>
        <w:tc>
          <w:tcPr>
            <w:tcW w:w="1406" w:type="dxa"/>
            <w:noWrap/>
            <w:vAlign w:val="center"/>
            <w:hideMark/>
          </w:tcPr>
          <w:p w:rsidR="00B51749" w:rsidRPr="00F0732E" w:rsidRDefault="00B51749" w:rsidP="00447572">
            <w:pPr>
              <w:jc w:val="right"/>
              <w:rPr>
                <w:sz w:val="28"/>
                <w:szCs w:val="28"/>
                <w:lang w:eastAsia="sk-SK"/>
              </w:rPr>
            </w:pPr>
          </w:p>
        </w:tc>
        <w:tc>
          <w:tcPr>
            <w:tcW w:w="1056" w:type="dxa"/>
            <w:noWrap/>
            <w:vAlign w:val="center"/>
            <w:hideMark/>
          </w:tcPr>
          <w:p w:rsidR="00B51749" w:rsidRPr="00F0732E" w:rsidRDefault="00B51749" w:rsidP="00447572">
            <w:pPr>
              <w:jc w:val="right"/>
              <w:rPr>
                <w:sz w:val="28"/>
                <w:szCs w:val="28"/>
                <w:lang w:eastAsia="sk-SK"/>
              </w:rPr>
            </w:pP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Aktuálny prehľad akreditovaných študijných programov na STU je akademickej obci, ako aj verejnosti</w:t>
      </w:r>
      <w:r w:rsidR="00385EE7">
        <w:rPr>
          <w:rFonts w:cs="Calibri"/>
          <w:sz w:val="28"/>
          <w:szCs w:val="28"/>
        </w:rPr>
        <w:t>,</w:t>
      </w:r>
      <w:r w:rsidRPr="00F0732E">
        <w:rPr>
          <w:rFonts w:cs="Calibri"/>
          <w:sz w:val="28"/>
          <w:szCs w:val="28"/>
        </w:rPr>
        <w:t xml:space="preserve"> vždy k dispozícii na internetovej stránke univerzity:</w:t>
      </w:r>
    </w:p>
    <w:p w:rsidR="00B51749" w:rsidRPr="00F0732E" w:rsidRDefault="00961615" w:rsidP="00B51749">
      <w:pPr>
        <w:rPr>
          <w:rStyle w:val="Hypertextovprepojenie"/>
          <w:rFonts w:cs="Calibri"/>
          <w:color w:val="auto"/>
          <w:sz w:val="28"/>
          <w:szCs w:val="28"/>
        </w:rPr>
      </w:pPr>
      <w:hyperlink r:id="rId10" w:history="1">
        <w:r w:rsidR="00B51749" w:rsidRPr="00F0732E">
          <w:rPr>
            <w:rStyle w:val="Hypertextovprepojenie"/>
            <w:rFonts w:cs="Calibri"/>
            <w:color w:val="auto"/>
            <w:sz w:val="28"/>
            <w:szCs w:val="28"/>
          </w:rPr>
          <w:t>http://www.stuba.sk/new/generate_page.php?page_id=1060</w:t>
        </w:r>
      </w:hyperlink>
      <w:r w:rsidR="00B51749" w:rsidRPr="00F0732E">
        <w:rPr>
          <w:sz w:val="28"/>
          <w:szCs w:val="28"/>
        </w:rPr>
        <w:t>.</w:t>
      </w:r>
    </w:p>
    <w:p w:rsidR="00B51749" w:rsidRPr="00F0732E" w:rsidRDefault="00B51749" w:rsidP="00B51749">
      <w:pPr>
        <w:rPr>
          <w:rStyle w:val="Hypertextovprepojenie"/>
          <w:rFonts w:cs="Calibri"/>
          <w:color w:val="auto"/>
          <w:sz w:val="28"/>
          <w:szCs w:val="28"/>
        </w:rPr>
      </w:pPr>
    </w:p>
    <w:p w:rsidR="00B51749" w:rsidRPr="00F0732E" w:rsidRDefault="00B51749" w:rsidP="00B51749">
      <w:pPr>
        <w:rPr>
          <w:sz w:val="28"/>
          <w:szCs w:val="28"/>
        </w:rPr>
      </w:pPr>
      <w:r w:rsidRPr="00F0732E">
        <w:rPr>
          <w:rFonts w:cs="Calibri"/>
          <w:sz w:val="28"/>
          <w:szCs w:val="28"/>
        </w:rPr>
        <w:t>Platnosť akreditácie ŠP na STU je priebežne monitorovaná a podľa dĺžky platnosti, resp. časového obmedzenia sú akreditácie ŠP aktualizované.</w:t>
      </w:r>
    </w:p>
    <w:p w:rsidR="00B51749" w:rsidRPr="00F0732E" w:rsidRDefault="00B51749" w:rsidP="00B51749">
      <w:pPr>
        <w:rPr>
          <w:sz w:val="28"/>
          <w:szCs w:val="28"/>
        </w:rPr>
      </w:pPr>
      <w:r w:rsidRPr="00F0732E">
        <w:rPr>
          <w:sz w:val="28"/>
          <w:szCs w:val="28"/>
        </w:rPr>
        <w:t>V priebehu akademického roku 2013/2014 boli podané 3 žiadosti o akreditáciu nových ŠP, 4 žiadosti o zmenu garanta, prípadne spolugaranta ŠP a </w:t>
      </w:r>
      <w:r w:rsidRPr="00F0732E">
        <w:rPr>
          <w:bCs/>
          <w:sz w:val="28"/>
          <w:szCs w:val="28"/>
        </w:rPr>
        <w:t xml:space="preserve">v súlade s § 83 ods. 9 zákona </w:t>
      </w:r>
      <w:r w:rsidRPr="00F0732E">
        <w:rPr>
          <w:sz w:val="28"/>
          <w:szCs w:val="28"/>
        </w:rPr>
        <w:t xml:space="preserve">boli zaslané tri </w:t>
      </w:r>
      <w:r w:rsidRPr="00F0732E">
        <w:rPr>
          <w:bCs/>
          <w:sz w:val="28"/>
          <w:szCs w:val="28"/>
        </w:rPr>
        <w:t xml:space="preserve">správy o výsledku prijatých opatrení na odstránenie nedostatkov študijných programov, </w:t>
      </w:r>
      <w:r w:rsidRPr="00F0732E">
        <w:rPr>
          <w:sz w:val="28"/>
          <w:szCs w:val="28"/>
        </w:rPr>
        <w:t>na základe ktorých minister obnovil pozastavené práva pre predmetné študijné programy.</w:t>
      </w:r>
    </w:p>
    <w:p w:rsidR="00B51749" w:rsidRDefault="00B51749" w:rsidP="00B51749">
      <w:pPr>
        <w:spacing w:after="120"/>
        <w:outlineLvl w:val="0"/>
        <w:rPr>
          <w:rFonts w:cs="Calibri"/>
          <w:sz w:val="28"/>
          <w:szCs w:val="28"/>
        </w:rPr>
      </w:pPr>
    </w:p>
    <w:p w:rsidR="00AE19FE" w:rsidRPr="00AE19FE" w:rsidRDefault="00AE19FE" w:rsidP="00B51749">
      <w:pPr>
        <w:spacing w:after="120"/>
        <w:outlineLvl w:val="0"/>
        <w:rPr>
          <w:rFonts w:cs="Calibri"/>
          <w:sz w:val="28"/>
          <w:szCs w:val="28"/>
        </w:rPr>
      </w:pPr>
      <w:r w:rsidRPr="00AE19FE">
        <w:rPr>
          <w:rFonts w:cs="Calibri"/>
          <w:sz w:val="28"/>
          <w:szCs w:val="28"/>
        </w:rPr>
        <w:t>Prehľad akreditovaných študijných programov, v ktorých STU poskytovala vysokoškolské vzdelávanie na jednotlivých stupňoch štúdia v akad. roku 2014/2015 je uvedený v tabuľkovej prílohe v </w:t>
      </w:r>
      <w:r w:rsidR="00914C68">
        <w:rPr>
          <w:rFonts w:cs="Calibri"/>
          <w:sz w:val="28"/>
          <w:szCs w:val="28"/>
        </w:rPr>
        <w:t>T</w:t>
      </w:r>
      <w:r w:rsidRPr="00AE19FE">
        <w:rPr>
          <w:rFonts w:cs="Calibri"/>
          <w:sz w:val="28"/>
          <w:szCs w:val="28"/>
        </w:rPr>
        <w:t>abuľke č. 15.</w:t>
      </w:r>
    </w:p>
    <w:p w:rsidR="00B51749" w:rsidRPr="00F0732E" w:rsidRDefault="00B51749" w:rsidP="00B51749">
      <w:pPr>
        <w:spacing w:after="120"/>
        <w:outlineLvl w:val="0"/>
        <w:rPr>
          <w:rFonts w:cs="Calibri"/>
          <w:sz w:val="28"/>
          <w:szCs w:val="28"/>
        </w:rPr>
      </w:pPr>
    </w:p>
    <w:p w:rsidR="00B51749" w:rsidRPr="00F0732E" w:rsidRDefault="00B51749" w:rsidP="00B51749">
      <w:pPr>
        <w:pStyle w:val="Nadpis3"/>
        <w:rPr>
          <w:rFonts w:ascii="Cambria" w:hAnsi="Cambria"/>
          <w:sz w:val="28"/>
          <w:szCs w:val="28"/>
        </w:rPr>
      </w:pPr>
      <w:bookmarkStart w:id="5" w:name="_Toc413009308"/>
      <w:r w:rsidRPr="00F0732E">
        <w:rPr>
          <w:rFonts w:ascii="Cambria" w:hAnsi="Cambria"/>
          <w:sz w:val="28"/>
          <w:szCs w:val="28"/>
        </w:rPr>
        <w:t>Akreditácia študijných programov v rámci komplexnej akreditácie 2014</w:t>
      </w:r>
      <w:bookmarkEnd w:id="5"/>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Príprava komplexnej akreditácie na STU začala prebiehať od septembra 2013 vytvorením časového harmonogramu. V rámci univerzitných grémií boli dohodnuté </w:t>
      </w:r>
      <w:r w:rsidRPr="00F0732E">
        <w:rPr>
          <w:rFonts w:cs="Calibri"/>
          <w:b/>
          <w:sz w:val="28"/>
          <w:szCs w:val="28"/>
        </w:rPr>
        <w:t>rámcové pravidlá</w:t>
      </w:r>
      <w:r w:rsidRPr="00F0732E">
        <w:rPr>
          <w:rFonts w:cs="Calibri"/>
          <w:sz w:val="28"/>
          <w:szCs w:val="28"/>
        </w:rPr>
        <w:t xml:space="preserve"> pre tvorbu študijných plánov na STU; </w:t>
      </w:r>
      <w:r w:rsidRPr="00F0732E">
        <w:rPr>
          <w:rFonts w:cs="Calibri"/>
          <w:b/>
          <w:sz w:val="28"/>
          <w:szCs w:val="28"/>
        </w:rPr>
        <w:t>spoločný profil absolventa</w:t>
      </w:r>
      <w:r w:rsidRPr="00F0732E">
        <w:rPr>
          <w:rFonts w:cs="Calibri"/>
          <w:sz w:val="28"/>
          <w:szCs w:val="28"/>
        </w:rPr>
        <w:t xml:space="preserve"> STU; </w:t>
      </w:r>
      <w:r w:rsidRPr="00F0732E">
        <w:rPr>
          <w:rFonts w:cs="Calibri"/>
          <w:b/>
          <w:sz w:val="28"/>
          <w:szCs w:val="28"/>
        </w:rPr>
        <w:t>spoločné univerzitné prvky študijných programov</w:t>
      </w:r>
      <w:r w:rsidRPr="00F0732E">
        <w:rPr>
          <w:rFonts w:cs="Calibri"/>
          <w:sz w:val="28"/>
          <w:szCs w:val="28"/>
        </w:rPr>
        <w:t xml:space="preserve"> na STU: </w:t>
      </w:r>
    </w:p>
    <w:p w:rsidR="00B51749" w:rsidRPr="00F0732E" w:rsidRDefault="00B51749" w:rsidP="00B51749">
      <w:pPr>
        <w:pStyle w:val="Odsekzoznamu"/>
        <w:numPr>
          <w:ilvl w:val="0"/>
          <w:numId w:val="20"/>
        </w:numPr>
        <w:spacing w:after="0" w:line="240" w:lineRule="auto"/>
        <w:rPr>
          <w:rFonts w:ascii="Cambria" w:hAnsi="Cambria" w:cs="Calibri"/>
          <w:sz w:val="28"/>
          <w:szCs w:val="28"/>
        </w:rPr>
      </w:pPr>
      <w:r w:rsidRPr="00F0732E">
        <w:rPr>
          <w:rFonts w:ascii="Cambria" w:hAnsi="Cambria" w:cs="Calibri"/>
          <w:sz w:val="28"/>
          <w:szCs w:val="28"/>
        </w:rPr>
        <w:t>vysoká odbornosť,</w:t>
      </w:r>
    </w:p>
    <w:p w:rsidR="00B51749" w:rsidRPr="00F0732E" w:rsidRDefault="00B51749" w:rsidP="00B51749">
      <w:pPr>
        <w:pStyle w:val="Odsekzoznamu"/>
        <w:numPr>
          <w:ilvl w:val="0"/>
          <w:numId w:val="20"/>
        </w:numPr>
        <w:spacing w:after="0" w:line="240" w:lineRule="auto"/>
        <w:rPr>
          <w:rFonts w:ascii="Cambria" w:hAnsi="Cambria" w:cs="Calibri"/>
          <w:sz w:val="28"/>
          <w:szCs w:val="28"/>
        </w:rPr>
      </w:pPr>
      <w:r w:rsidRPr="00F0732E">
        <w:rPr>
          <w:rFonts w:ascii="Cambria" w:hAnsi="Cambria" w:cs="Calibri"/>
          <w:sz w:val="28"/>
          <w:szCs w:val="28"/>
        </w:rPr>
        <w:t xml:space="preserve">soft skills predmety v rozsahu 6 </w:t>
      </w:r>
      <w:r w:rsidR="00542541">
        <w:rPr>
          <w:rFonts w:ascii="Cambria" w:hAnsi="Cambria" w:cs="Calibri"/>
          <w:sz w:val="28"/>
          <w:szCs w:val="28"/>
        </w:rPr>
        <w:t>–</w:t>
      </w:r>
      <w:r w:rsidRPr="00F0732E">
        <w:rPr>
          <w:rFonts w:ascii="Cambria" w:hAnsi="Cambria" w:cs="Calibri"/>
          <w:sz w:val="28"/>
          <w:szCs w:val="28"/>
        </w:rPr>
        <w:t xml:space="preserve"> 9 kreditov,</w:t>
      </w:r>
    </w:p>
    <w:p w:rsidR="00B51749" w:rsidRPr="00F0732E" w:rsidRDefault="00B51749" w:rsidP="00B51749">
      <w:pPr>
        <w:pStyle w:val="Odsekzoznamu"/>
        <w:numPr>
          <w:ilvl w:val="0"/>
          <w:numId w:val="20"/>
        </w:numPr>
        <w:spacing w:after="0" w:line="240" w:lineRule="auto"/>
        <w:rPr>
          <w:rFonts w:ascii="Cambria" w:hAnsi="Cambria" w:cs="Calibri"/>
          <w:sz w:val="28"/>
          <w:szCs w:val="28"/>
        </w:rPr>
      </w:pPr>
      <w:r w:rsidRPr="00F0732E">
        <w:rPr>
          <w:rFonts w:ascii="Cambria" w:hAnsi="Cambria" w:cs="Calibri"/>
          <w:sz w:val="28"/>
          <w:szCs w:val="28"/>
        </w:rPr>
        <w:t>vytvorenie priestoru pre výberové predmety (do 10 kreditov),</w:t>
      </w:r>
    </w:p>
    <w:p w:rsidR="00B51749" w:rsidRPr="00F0732E" w:rsidRDefault="00B51749" w:rsidP="00B51749">
      <w:pPr>
        <w:pStyle w:val="Odsekzoznamu"/>
        <w:numPr>
          <w:ilvl w:val="0"/>
          <w:numId w:val="20"/>
        </w:numPr>
        <w:spacing w:after="0" w:line="240" w:lineRule="auto"/>
        <w:rPr>
          <w:rFonts w:ascii="Cambria" w:hAnsi="Cambria" w:cs="Calibri"/>
          <w:sz w:val="28"/>
          <w:szCs w:val="28"/>
        </w:rPr>
      </w:pPr>
      <w:r w:rsidRPr="00F0732E">
        <w:rPr>
          <w:rFonts w:ascii="Cambria" w:hAnsi="Cambria" w:cs="Calibri"/>
          <w:sz w:val="28"/>
          <w:szCs w:val="28"/>
        </w:rPr>
        <w:t>dôsledná orientácia na kreditový systém štúdia (pracovn</w:t>
      </w:r>
      <w:r w:rsidR="00385EE7">
        <w:rPr>
          <w:rFonts w:ascii="Cambria" w:hAnsi="Cambria" w:cs="Calibri"/>
          <w:sz w:val="28"/>
          <w:szCs w:val="28"/>
        </w:rPr>
        <w:t>á</w:t>
      </w:r>
      <w:r w:rsidRPr="00F0732E">
        <w:rPr>
          <w:rFonts w:ascii="Cambria" w:hAnsi="Cambria" w:cs="Calibri"/>
          <w:sz w:val="28"/>
          <w:szCs w:val="28"/>
        </w:rPr>
        <w:t xml:space="preserve"> záťaž študenta)</w:t>
      </w:r>
    </w:p>
    <w:p w:rsidR="00B51749" w:rsidRPr="00F0732E" w:rsidRDefault="00B51749" w:rsidP="00B51749">
      <w:pPr>
        <w:pStyle w:val="Odsekzoznamu"/>
        <w:numPr>
          <w:ilvl w:val="0"/>
          <w:numId w:val="20"/>
        </w:numPr>
        <w:spacing w:after="0" w:line="240" w:lineRule="auto"/>
        <w:rPr>
          <w:rFonts w:ascii="Cambria" w:hAnsi="Cambria" w:cs="Calibri"/>
          <w:sz w:val="28"/>
          <w:szCs w:val="28"/>
        </w:rPr>
      </w:pPr>
      <w:r w:rsidRPr="00F0732E">
        <w:rPr>
          <w:rFonts w:ascii="Cambria" w:hAnsi="Cambria" w:cs="Calibri"/>
          <w:sz w:val="28"/>
          <w:szCs w:val="28"/>
        </w:rPr>
        <w:t>akreditácia programov v anglickom jazyku.</w:t>
      </w:r>
    </w:p>
    <w:p w:rsidR="00B51749" w:rsidRPr="00F0732E" w:rsidRDefault="00B51749" w:rsidP="00B51749">
      <w:pPr>
        <w:rPr>
          <w:rFonts w:cs="Calibri"/>
          <w:sz w:val="28"/>
          <w:szCs w:val="28"/>
        </w:rPr>
      </w:pPr>
      <w:r w:rsidRPr="00F0732E">
        <w:rPr>
          <w:rFonts w:cs="Calibri"/>
          <w:sz w:val="28"/>
          <w:szCs w:val="28"/>
        </w:rPr>
        <w:lastRenderedPageBreak/>
        <w:t xml:space="preserve">Príprava akreditačných spisov </w:t>
      </w:r>
      <w:r w:rsidR="00542541">
        <w:rPr>
          <w:rFonts w:cs="Calibri"/>
          <w:sz w:val="28"/>
          <w:szCs w:val="28"/>
        </w:rPr>
        <w:t>na</w:t>
      </w:r>
      <w:r w:rsidRPr="00F0732E">
        <w:rPr>
          <w:rFonts w:cs="Calibri"/>
          <w:sz w:val="28"/>
          <w:szCs w:val="28"/>
        </w:rPr>
        <w:t xml:space="preserve"> akreditáciu študijných programov na STU bola centrálne zabezpečovaná nasledovnými opatreniami:</w:t>
      </w:r>
    </w:p>
    <w:p w:rsidR="00B51749" w:rsidRPr="00F0732E" w:rsidRDefault="00B51749" w:rsidP="00B51749">
      <w:pPr>
        <w:pStyle w:val="Odsekzoznamu"/>
        <w:numPr>
          <w:ilvl w:val="0"/>
          <w:numId w:val="21"/>
        </w:numPr>
        <w:spacing w:after="0" w:line="240" w:lineRule="auto"/>
        <w:ind w:left="709"/>
        <w:rPr>
          <w:rFonts w:ascii="Cambria" w:hAnsi="Cambria" w:cs="Calibri"/>
          <w:sz w:val="28"/>
          <w:szCs w:val="28"/>
        </w:rPr>
      </w:pPr>
      <w:r w:rsidRPr="00F0732E">
        <w:rPr>
          <w:rFonts w:ascii="Cambria" w:hAnsi="Cambria" w:cs="Calibri"/>
          <w:sz w:val="28"/>
          <w:szCs w:val="28"/>
        </w:rPr>
        <w:t>Akademický informačný systém (ďalej len „AIS“)</w:t>
      </w:r>
      <w:r w:rsidR="00385EE7">
        <w:rPr>
          <w:rFonts w:ascii="Cambria" w:hAnsi="Cambria" w:cs="Calibri"/>
          <w:sz w:val="28"/>
          <w:szCs w:val="28"/>
        </w:rPr>
        <w:t xml:space="preserve"> -</w:t>
      </w:r>
      <w:r w:rsidRPr="00F0732E">
        <w:rPr>
          <w:rFonts w:ascii="Cambria" w:hAnsi="Cambria" w:cs="Calibri"/>
          <w:sz w:val="28"/>
          <w:szCs w:val="28"/>
        </w:rPr>
        <w:t xml:space="preserve"> akreditačná podpora (štatistiky, tvorba informačných listov),</w:t>
      </w:r>
    </w:p>
    <w:p w:rsidR="00B51749" w:rsidRPr="00F0732E" w:rsidRDefault="00B51749" w:rsidP="00B51749">
      <w:pPr>
        <w:pStyle w:val="Odsekzoznamu"/>
        <w:numPr>
          <w:ilvl w:val="0"/>
          <w:numId w:val="21"/>
        </w:numPr>
        <w:spacing w:after="0" w:line="240" w:lineRule="auto"/>
        <w:ind w:left="709"/>
        <w:rPr>
          <w:rFonts w:ascii="Cambria" w:hAnsi="Cambria" w:cs="Calibri"/>
          <w:sz w:val="28"/>
          <w:szCs w:val="28"/>
        </w:rPr>
      </w:pPr>
      <w:r w:rsidRPr="00F0732E">
        <w:rPr>
          <w:rFonts w:ascii="Cambria" w:hAnsi="Cambria" w:cs="Calibri"/>
          <w:sz w:val="28"/>
          <w:szCs w:val="28"/>
        </w:rPr>
        <w:t>dokumentový server (legislatíva, vzorové spisy),</w:t>
      </w:r>
    </w:p>
    <w:p w:rsidR="00B51749" w:rsidRPr="00F0732E" w:rsidRDefault="00B51749" w:rsidP="00B51749">
      <w:pPr>
        <w:pStyle w:val="Odsekzoznamu"/>
        <w:numPr>
          <w:ilvl w:val="0"/>
          <w:numId w:val="21"/>
        </w:numPr>
        <w:spacing w:after="0" w:line="240" w:lineRule="auto"/>
        <w:ind w:left="709"/>
        <w:rPr>
          <w:rFonts w:ascii="Cambria" w:hAnsi="Cambria" w:cs="Calibri"/>
          <w:sz w:val="28"/>
          <w:szCs w:val="28"/>
        </w:rPr>
      </w:pPr>
      <w:r w:rsidRPr="00F0732E">
        <w:rPr>
          <w:rFonts w:ascii="Cambria" w:hAnsi="Cambria" w:cs="Calibri"/>
          <w:sz w:val="28"/>
          <w:szCs w:val="28"/>
        </w:rPr>
        <w:t>okamžité konzultácie s fakultami a s akreditačnou komisiou,</w:t>
      </w:r>
    </w:p>
    <w:p w:rsidR="00B51749" w:rsidRPr="00F0732E" w:rsidRDefault="00B51749" w:rsidP="00B51749">
      <w:pPr>
        <w:pStyle w:val="Odsekzoznamu"/>
        <w:numPr>
          <w:ilvl w:val="0"/>
          <w:numId w:val="21"/>
        </w:numPr>
        <w:spacing w:after="0" w:line="240" w:lineRule="auto"/>
        <w:ind w:left="709"/>
        <w:rPr>
          <w:rFonts w:ascii="Cambria" w:hAnsi="Cambria" w:cs="Calibri"/>
          <w:sz w:val="28"/>
          <w:szCs w:val="28"/>
        </w:rPr>
      </w:pPr>
      <w:r w:rsidRPr="00F0732E">
        <w:rPr>
          <w:rFonts w:ascii="Cambria" w:hAnsi="Cambria" w:cs="Calibri"/>
          <w:sz w:val="28"/>
          <w:szCs w:val="28"/>
        </w:rPr>
        <w:t>návštevy fakúlt a konzultácie na mieste,</w:t>
      </w:r>
    </w:p>
    <w:p w:rsidR="00B51749" w:rsidRPr="00F0732E" w:rsidRDefault="00B51749" w:rsidP="00B51749">
      <w:pPr>
        <w:pStyle w:val="Odsekzoznamu"/>
        <w:numPr>
          <w:ilvl w:val="0"/>
          <w:numId w:val="21"/>
        </w:numPr>
        <w:spacing w:after="0" w:line="240" w:lineRule="auto"/>
        <w:ind w:left="709"/>
        <w:rPr>
          <w:rFonts w:ascii="Cambria" w:hAnsi="Cambria" w:cs="Calibri"/>
          <w:sz w:val="28"/>
          <w:szCs w:val="28"/>
        </w:rPr>
      </w:pPr>
      <w:r w:rsidRPr="00F0732E">
        <w:rPr>
          <w:rFonts w:ascii="Cambria" w:hAnsi="Cambria" w:cs="Calibri"/>
          <w:sz w:val="28"/>
          <w:szCs w:val="28"/>
        </w:rPr>
        <w:t>centrálna kontrola spisov.</w:t>
      </w:r>
    </w:p>
    <w:p w:rsidR="00B51749" w:rsidRPr="00F0732E" w:rsidRDefault="00B51749" w:rsidP="00B51749">
      <w:pPr>
        <w:rPr>
          <w:rFonts w:cs="Calibri"/>
          <w:sz w:val="28"/>
          <w:szCs w:val="28"/>
        </w:rPr>
      </w:pPr>
      <w:r w:rsidRPr="00F0732E">
        <w:rPr>
          <w:rFonts w:cs="Calibri"/>
          <w:sz w:val="28"/>
          <w:szCs w:val="28"/>
        </w:rPr>
        <w:t xml:space="preserve">Sumárny prehľad študijných programov predložených v rámci komplexnej akreditácie uvádza </w:t>
      </w:r>
      <w:r w:rsidR="00914C68">
        <w:rPr>
          <w:rFonts w:cs="Calibri"/>
          <w:sz w:val="28"/>
          <w:szCs w:val="28"/>
        </w:rPr>
        <w:t>T</w:t>
      </w:r>
      <w:r w:rsidRPr="00F0732E">
        <w:rPr>
          <w:rFonts w:cs="Calibri"/>
          <w:sz w:val="28"/>
          <w:szCs w:val="28"/>
        </w:rPr>
        <w:t>abuľka 3.3.</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3.3: Prehľad študijných programov predložených v rámci komplexne</w:t>
      </w:r>
      <w:r w:rsidR="00542541">
        <w:rPr>
          <w:rFonts w:cs="Calibri"/>
          <w:b/>
          <w:sz w:val="28"/>
          <w:szCs w:val="28"/>
        </w:rPr>
        <w:t>j</w:t>
      </w:r>
      <w:r w:rsidRPr="00F0732E">
        <w:rPr>
          <w:rFonts w:cs="Calibri"/>
          <w:b/>
          <w:sz w:val="28"/>
          <w:szCs w:val="28"/>
        </w:rPr>
        <w:t xml:space="preserve"> akreditácie 2014 v dennej forme štúdia</w:t>
      </w:r>
    </w:p>
    <w:tbl>
      <w:tblPr>
        <w:tblW w:w="6720" w:type="dxa"/>
        <w:tblInd w:w="55" w:type="dxa"/>
        <w:tblCellMar>
          <w:left w:w="70" w:type="dxa"/>
          <w:right w:w="70" w:type="dxa"/>
        </w:tblCellMar>
        <w:tblLook w:val="04A0" w:firstRow="1" w:lastRow="0" w:firstColumn="1" w:lastColumn="0" w:noHBand="0" w:noVBand="1"/>
      </w:tblPr>
      <w:tblGrid>
        <w:gridCol w:w="1225"/>
        <w:gridCol w:w="959"/>
        <w:gridCol w:w="959"/>
        <w:gridCol w:w="1074"/>
        <w:gridCol w:w="959"/>
        <w:gridCol w:w="849"/>
        <w:gridCol w:w="1123"/>
      </w:tblGrid>
      <w:tr w:rsidR="00B51749" w:rsidRPr="00F0732E" w:rsidTr="00447572">
        <w:trPr>
          <w:trHeight w:val="270"/>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Fakulta</w:t>
            </w:r>
          </w:p>
        </w:tc>
        <w:tc>
          <w:tcPr>
            <w:tcW w:w="5760" w:type="dxa"/>
            <w:gridSpan w:val="6"/>
            <w:tcBorders>
              <w:top w:val="single" w:sz="8" w:space="0" w:color="000000"/>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študijné programy predložené v rámci komplexnej akreditácie</w:t>
            </w:r>
          </w:p>
        </w:tc>
      </w:tr>
      <w:tr w:rsidR="00B51749" w:rsidRPr="00F0732E" w:rsidTr="00447572">
        <w:trPr>
          <w:trHeight w:val="78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51749" w:rsidRPr="00F0732E" w:rsidRDefault="00B51749" w:rsidP="00447572">
            <w:pPr>
              <w:rPr>
                <w:rFonts w:eastAsia="Times New Roman" w:cs="Arial"/>
                <w:b/>
                <w:bCs/>
                <w:sz w:val="28"/>
                <w:szCs w:val="28"/>
                <w:lang w:eastAsia="sk-SK"/>
              </w:rPr>
            </w:pP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 stupeň</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 stupeň</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spojený             I. a II. stupeň</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III. stupeň</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študijné odbory*</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33</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24</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26</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36</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12</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8" w:space="0" w:color="000000"/>
              <w:right w:val="single" w:sz="8" w:space="0" w:color="000000"/>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r>
      <w:tr w:rsidR="00B51749" w:rsidRPr="00F0732E" w:rsidTr="00447572">
        <w:trPr>
          <w:trHeight w:val="27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53</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63</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62</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179</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60</w:t>
            </w:r>
          </w:p>
        </w:tc>
      </w:tr>
      <w:tr w:rsidR="00B51749" w:rsidRPr="00F0732E" w:rsidTr="00447572">
        <w:trPr>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anglický jazyk</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55</w:t>
            </w:r>
          </w:p>
        </w:tc>
        <w:tc>
          <w:tcPr>
            <w:tcW w:w="960" w:type="dxa"/>
            <w:tcBorders>
              <w:top w:val="nil"/>
              <w:left w:val="nil"/>
              <w:bottom w:val="single" w:sz="8" w:space="0" w:color="000000"/>
              <w:right w:val="single" w:sz="8" w:space="0" w:color="000000"/>
            </w:tcBorders>
            <w:shd w:val="clear" w:color="000000"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108</w:t>
            </w:r>
          </w:p>
        </w:tc>
        <w:tc>
          <w:tcPr>
            <w:tcW w:w="960" w:type="dxa"/>
            <w:tcBorders>
              <w:top w:val="nil"/>
              <w:left w:val="nil"/>
              <w:bottom w:val="single" w:sz="8" w:space="0" w:color="000000"/>
              <w:right w:val="single" w:sz="8" w:space="0" w:color="000000"/>
            </w:tcBorders>
            <w:shd w:val="clear" w:color="000000" w:fill="FFFFFF"/>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r>
    </w:tbl>
    <w:p w:rsidR="00B51749" w:rsidRPr="00F0732E" w:rsidRDefault="00B51749" w:rsidP="00B51749">
      <w:pPr>
        <w:rPr>
          <w:rFonts w:cs="Calibri"/>
          <w:sz w:val="28"/>
          <w:szCs w:val="28"/>
        </w:rPr>
      </w:pPr>
      <w:r w:rsidRPr="00F0732E">
        <w:rPr>
          <w:rFonts w:cs="Calibri"/>
          <w:sz w:val="28"/>
          <w:szCs w:val="28"/>
        </w:rPr>
        <w:t>Vysvetlivky</w:t>
      </w:r>
      <w:r w:rsidR="00385EE7">
        <w:rPr>
          <w:rFonts w:cs="Calibri"/>
          <w:sz w:val="28"/>
          <w:szCs w:val="28"/>
        </w:rPr>
        <w:t xml:space="preserve"> k tabuľke</w:t>
      </w:r>
      <w:r w:rsidRPr="00F0732E">
        <w:rPr>
          <w:rFonts w:cs="Calibri"/>
          <w:sz w:val="28"/>
          <w:szCs w:val="28"/>
        </w:rPr>
        <w:t>:</w:t>
      </w:r>
    </w:p>
    <w:p w:rsidR="00B51749" w:rsidRPr="00F0732E" w:rsidRDefault="00B51749" w:rsidP="00B51749">
      <w:pPr>
        <w:rPr>
          <w:rFonts w:cs="Calibri"/>
          <w:sz w:val="28"/>
          <w:szCs w:val="28"/>
        </w:rPr>
      </w:pPr>
      <w:r w:rsidRPr="00F0732E">
        <w:rPr>
          <w:rFonts w:eastAsia="Times New Roman" w:cs="Arial"/>
          <w:sz w:val="28"/>
          <w:szCs w:val="28"/>
          <w:lang w:eastAsia="sk-SK"/>
        </w:rPr>
        <w:t>*</w:t>
      </w:r>
      <w:r w:rsidR="00385EE7">
        <w:rPr>
          <w:rFonts w:eastAsia="Times New Roman" w:cs="Arial"/>
          <w:sz w:val="28"/>
          <w:szCs w:val="28"/>
          <w:lang w:eastAsia="sk-SK"/>
        </w:rPr>
        <w:t>s</w:t>
      </w:r>
      <w:r w:rsidRPr="00F0732E">
        <w:rPr>
          <w:rFonts w:eastAsia="Times New Roman" w:cs="Arial"/>
          <w:sz w:val="28"/>
          <w:szCs w:val="28"/>
          <w:lang w:eastAsia="sk-SK"/>
        </w:rPr>
        <w:t>polu predkladala STU žiadosti v 60 študijných odboroch. V prípade, že súčasť STU predkladala študijný program v kombinácii dvoch študijných odborov, započítané sú v rámci príslušnej súčasti STU obidva študijné odbory samostatne.</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V rámci komplexnej akreditácie bolo za STU predložených celkovo 179 študijných programov v dennej forme štúdia (všetky stupne štúdia) a 62 študijných programov v externej forme štúdia (len tretí stupeň štúdia) spolu v 60 študijných odboroch. 108 študijných programov v dennej forme štúdia bolo predložených na akreditáciu v anglickom jazyku.</w:t>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6" w:name="_Toc413009309"/>
      <w:r w:rsidRPr="00F0732E">
        <w:rPr>
          <w:rFonts w:ascii="Cambria" w:hAnsi="Cambria"/>
          <w:color w:val="auto"/>
        </w:rPr>
        <w:t>Počty a štruktúra študentov na STU</w:t>
      </w:r>
      <w:bookmarkEnd w:id="6"/>
    </w:p>
    <w:p w:rsidR="00B51749" w:rsidRPr="00F0732E" w:rsidRDefault="00B51749" w:rsidP="00B51749">
      <w:pPr>
        <w:rPr>
          <w:rFonts w:cs="Calibri"/>
          <w:sz w:val="28"/>
          <w:szCs w:val="28"/>
        </w:rPr>
      </w:pPr>
      <w:r w:rsidRPr="00F0732E">
        <w:rPr>
          <w:rFonts w:cs="Calibri"/>
          <w:sz w:val="28"/>
          <w:szCs w:val="28"/>
        </w:rPr>
        <w:t xml:space="preserve">STU mala v akademickom roku 2013/2014 celkovo </w:t>
      </w:r>
      <w:r w:rsidRPr="00F0732E">
        <w:rPr>
          <w:rFonts w:cs="Calibri"/>
          <w:b/>
          <w:sz w:val="28"/>
          <w:szCs w:val="28"/>
        </w:rPr>
        <w:t>16 402 študentov</w:t>
      </w:r>
      <w:r w:rsidRPr="00F0732E">
        <w:rPr>
          <w:rFonts w:cs="Calibri"/>
          <w:sz w:val="28"/>
          <w:szCs w:val="28"/>
        </w:rPr>
        <w:t>; 10 619 na I. stupni, 4 419 na II. stupni a 1 364 na III. stupni. Prehľad o počtoch a štruktúre študentov uvádza Tabuľka 3.4.</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3.4: Počet študentov STU v akad. roku 2013/14 k 31. 10. 2013</w:t>
      </w:r>
    </w:p>
    <w:tbl>
      <w:tblPr>
        <w:tblW w:w="8921" w:type="dxa"/>
        <w:tblInd w:w="55" w:type="dxa"/>
        <w:tblLayout w:type="fixed"/>
        <w:tblCellMar>
          <w:left w:w="70" w:type="dxa"/>
          <w:right w:w="70" w:type="dxa"/>
        </w:tblCellMar>
        <w:tblLook w:val="04A0" w:firstRow="1" w:lastRow="0" w:firstColumn="1" w:lastColumn="0" w:noHBand="0" w:noVBand="1"/>
      </w:tblPr>
      <w:tblGrid>
        <w:gridCol w:w="1008"/>
        <w:gridCol w:w="939"/>
        <w:gridCol w:w="987"/>
        <w:gridCol w:w="988"/>
        <w:gridCol w:w="635"/>
        <w:gridCol w:w="635"/>
        <w:gridCol w:w="777"/>
        <w:gridCol w:w="1134"/>
        <w:gridCol w:w="1818"/>
      </w:tblGrid>
      <w:tr w:rsidR="00B51749" w:rsidRPr="00F0732E" w:rsidTr="00447572">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Fakulta</w:t>
            </w:r>
          </w:p>
        </w:tc>
        <w:tc>
          <w:tcPr>
            <w:tcW w:w="791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Študenti na STU</w:t>
            </w:r>
          </w:p>
        </w:tc>
      </w:tr>
      <w:tr w:rsidR="00B51749" w:rsidRPr="00F0732E" w:rsidTr="00447572">
        <w:trPr>
          <w:trHeight w:val="51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sz w:val="28"/>
                <w:szCs w:val="28"/>
                <w:lang w:eastAsia="sk-SK"/>
              </w:rPr>
            </w:pPr>
          </w:p>
        </w:tc>
        <w:tc>
          <w:tcPr>
            <w:tcW w:w="2914" w:type="dxa"/>
            <w:gridSpan w:val="3"/>
            <w:tcBorders>
              <w:top w:val="single" w:sz="4" w:space="0" w:color="auto"/>
              <w:left w:val="nil"/>
              <w:bottom w:val="single" w:sz="4" w:space="0" w:color="auto"/>
              <w:right w:val="doub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Denné                                               (Slováci + cudzinci)</w:t>
            </w:r>
          </w:p>
        </w:tc>
        <w:tc>
          <w:tcPr>
            <w:tcW w:w="2047" w:type="dxa"/>
            <w:gridSpan w:val="3"/>
            <w:tcBorders>
              <w:top w:val="single" w:sz="4" w:space="0" w:color="auto"/>
              <w:left w:val="double" w:sz="4" w:space="0" w:color="auto"/>
              <w:bottom w:val="single" w:sz="4" w:space="0" w:color="auto"/>
              <w:right w:val="nil"/>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Externé                                      (Slováci + cudzinci)</w:t>
            </w:r>
          </w:p>
        </w:tc>
        <w:tc>
          <w:tcPr>
            <w:tcW w:w="1134" w:type="dxa"/>
            <w:tcBorders>
              <w:top w:val="nil"/>
              <w:left w:val="double" w:sz="6" w:space="0" w:color="auto"/>
              <w:bottom w:val="single" w:sz="4" w:space="0" w:color="auto"/>
              <w:right w:val="double" w:sz="6"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Cudzinci všetky stupne</w:t>
            </w:r>
          </w:p>
        </w:tc>
        <w:tc>
          <w:tcPr>
            <w:tcW w:w="1818" w:type="dxa"/>
            <w:tcBorders>
              <w:top w:val="nil"/>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STU celkom (Slováci                   + cudzinci)</w:t>
            </w:r>
          </w:p>
        </w:tc>
      </w:tr>
      <w:tr w:rsidR="00B51749" w:rsidRPr="00F0732E" w:rsidTr="00447572">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sz w:val="28"/>
                <w:szCs w:val="28"/>
                <w:lang w:eastAsia="sk-SK"/>
              </w:rPr>
            </w:pPr>
          </w:p>
        </w:tc>
        <w:tc>
          <w:tcPr>
            <w:tcW w:w="93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w:t>
            </w:r>
          </w:p>
        </w:tc>
        <w:tc>
          <w:tcPr>
            <w:tcW w:w="98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w:t>
            </w:r>
          </w:p>
        </w:tc>
        <w:tc>
          <w:tcPr>
            <w:tcW w:w="988" w:type="dxa"/>
            <w:tcBorders>
              <w:top w:val="nil"/>
              <w:left w:val="nil"/>
              <w:bottom w:val="single" w:sz="4" w:space="0" w:color="auto"/>
              <w:right w:val="doub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III.</w:t>
            </w:r>
          </w:p>
        </w:tc>
        <w:tc>
          <w:tcPr>
            <w:tcW w:w="635" w:type="dxa"/>
            <w:tcBorders>
              <w:top w:val="nil"/>
              <w:left w:val="doub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w:t>
            </w:r>
          </w:p>
        </w:tc>
        <w:tc>
          <w:tcPr>
            <w:tcW w:w="635"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w:t>
            </w:r>
          </w:p>
        </w:tc>
        <w:tc>
          <w:tcPr>
            <w:tcW w:w="777" w:type="dxa"/>
            <w:tcBorders>
              <w:top w:val="nil"/>
              <w:left w:val="nil"/>
              <w:bottom w:val="single" w:sz="4" w:space="0" w:color="auto"/>
              <w:right w:val="nil"/>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III.</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D+E</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D+E</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SvF</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2 347</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1 153</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241</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91</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3 790</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SjF</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912</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505</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78</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36</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56</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44</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1 587</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FEI</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1 664</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637</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167</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117</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52</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2 585</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FCHPT</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1 769</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348</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231</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37</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2 386</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FA</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762</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390</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85</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36</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1 273</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MTF</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2 051</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1 049</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89</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63</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25</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3 252</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FIIT</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962</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287</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1 306</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ÚM</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115</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50</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41</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223</w:t>
            </w:r>
          </w:p>
        </w:tc>
      </w:tr>
      <w:tr w:rsidR="00B51749" w:rsidRPr="00F0732E" w:rsidTr="0044757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939"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10582</w:t>
            </w:r>
          </w:p>
        </w:tc>
        <w:tc>
          <w:tcPr>
            <w:tcW w:w="98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4 419</w:t>
            </w:r>
          </w:p>
        </w:tc>
        <w:tc>
          <w:tcPr>
            <w:tcW w:w="988" w:type="dxa"/>
            <w:tcBorders>
              <w:top w:val="nil"/>
              <w:left w:val="nil"/>
              <w:bottom w:val="single" w:sz="4" w:space="0" w:color="auto"/>
              <w:right w:val="doub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957</w:t>
            </w:r>
          </w:p>
        </w:tc>
        <w:tc>
          <w:tcPr>
            <w:tcW w:w="635" w:type="dxa"/>
            <w:tcBorders>
              <w:top w:val="nil"/>
              <w:left w:val="doub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37</w:t>
            </w:r>
          </w:p>
        </w:tc>
        <w:tc>
          <w:tcPr>
            <w:tcW w:w="635"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0</w:t>
            </w:r>
          </w:p>
        </w:tc>
        <w:tc>
          <w:tcPr>
            <w:tcW w:w="777" w:type="dxa"/>
            <w:tcBorders>
              <w:top w:val="nil"/>
              <w:left w:val="nil"/>
              <w:bottom w:val="single" w:sz="4" w:space="0" w:color="auto"/>
              <w:right w:val="nil"/>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407</w:t>
            </w:r>
          </w:p>
        </w:tc>
        <w:tc>
          <w:tcPr>
            <w:tcW w:w="1134" w:type="dxa"/>
            <w:tcBorders>
              <w:top w:val="nil"/>
              <w:left w:val="double" w:sz="6" w:space="0" w:color="auto"/>
              <w:bottom w:val="single" w:sz="4" w:space="0" w:color="auto"/>
              <w:right w:val="double" w:sz="6"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298</w:t>
            </w:r>
          </w:p>
        </w:tc>
        <w:tc>
          <w:tcPr>
            <w:tcW w:w="1818" w:type="dxa"/>
            <w:tcBorders>
              <w:top w:val="nil"/>
              <w:left w:val="nil"/>
              <w:bottom w:val="single" w:sz="4" w:space="0" w:color="auto"/>
              <w:right w:val="single" w:sz="4" w:space="0" w:color="auto"/>
            </w:tcBorders>
            <w:shd w:val="clear" w:color="000000" w:fill="D9D9D9"/>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16 402</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Porovnanie celkového počtu študentov na vybraných vysokých školách za posledných päť rokov je znázornený v  Grafe 3.2.</w:t>
      </w: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r w:rsidRPr="00F0732E">
        <w:rPr>
          <w:rFonts w:cs="Calibri"/>
          <w:b/>
          <w:bCs/>
          <w:sz w:val="28"/>
          <w:szCs w:val="28"/>
        </w:rPr>
        <w:t>Graf 3.2: Porovnanie celkového počtu študentov na vybraných vysokých školách za posledných päť rokov</w:t>
      </w:r>
    </w:p>
    <w:p w:rsidR="00B51749" w:rsidRPr="00F0732E" w:rsidRDefault="00B51749" w:rsidP="00B51749">
      <w:pPr>
        <w:rPr>
          <w:rFonts w:cs="Calibri"/>
          <w:sz w:val="28"/>
          <w:szCs w:val="28"/>
        </w:rPr>
      </w:pPr>
      <w:r>
        <w:rPr>
          <w:noProof/>
          <w:sz w:val="28"/>
          <w:szCs w:val="28"/>
          <w:lang w:eastAsia="sk-SK"/>
        </w:rPr>
        <w:lastRenderedPageBreak/>
        <w:drawing>
          <wp:inline distT="0" distB="0" distL="0" distR="0">
            <wp:extent cx="5618480" cy="3246755"/>
            <wp:effectExtent l="0" t="0" r="1270" b="0"/>
            <wp:docPr id="44" name="Graf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Zdroj: Štatistické ročenky UIPŠ, </w:t>
      </w:r>
      <w:hyperlink r:id="rId12" w:history="1">
        <w:r w:rsidRPr="00F0732E">
          <w:rPr>
            <w:rStyle w:val="Hypertextovprepojenie"/>
            <w:rFonts w:cs="Calibri"/>
            <w:color w:val="auto"/>
            <w:sz w:val="28"/>
            <w:szCs w:val="28"/>
          </w:rPr>
          <w:t>www.uips.sk</w:t>
        </w:r>
      </w:hyperlink>
    </w:p>
    <w:p w:rsidR="00B51749" w:rsidRPr="00F0732E" w:rsidRDefault="00B51749" w:rsidP="00B51749">
      <w:pPr>
        <w:rPr>
          <w:rFonts w:cs="Calibri"/>
          <w:sz w:val="28"/>
          <w:szCs w:val="28"/>
        </w:rPr>
      </w:pPr>
      <w:r w:rsidRPr="00F0732E">
        <w:rPr>
          <w:rFonts w:cs="Calibri"/>
          <w:sz w:val="28"/>
          <w:szCs w:val="28"/>
        </w:rPr>
        <w:t>Vysvetlivky:</w:t>
      </w:r>
      <w:r w:rsidRPr="00F0732E">
        <w:rPr>
          <w:rFonts w:cs="Calibri"/>
          <w:sz w:val="28"/>
          <w:szCs w:val="28"/>
        </w:rPr>
        <w:tab/>
      </w:r>
    </w:p>
    <w:p w:rsidR="00B51749" w:rsidRPr="00F0732E" w:rsidRDefault="00B51749" w:rsidP="00B51749">
      <w:pPr>
        <w:rPr>
          <w:rFonts w:cs="Calibri"/>
          <w:sz w:val="28"/>
          <w:szCs w:val="28"/>
        </w:rPr>
      </w:pPr>
      <w:r w:rsidRPr="00F0732E">
        <w:rPr>
          <w:rFonts w:cs="Calibri"/>
          <w:sz w:val="28"/>
          <w:szCs w:val="28"/>
        </w:rPr>
        <w:t>Údaje za akad. rok 2014/2015 budú publikované až v 2. štvrťroku 2015</w:t>
      </w:r>
    </w:p>
    <w:p w:rsidR="00B51749" w:rsidRPr="00F0732E" w:rsidRDefault="00B51749" w:rsidP="00B51749">
      <w:pPr>
        <w:rPr>
          <w:rFonts w:cs="Calibri"/>
          <w:sz w:val="28"/>
          <w:szCs w:val="28"/>
        </w:rPr>
      </w:pPr>
      <w:r w:rsidRPr="00F0732E">
        <w:rPr>
          <w:rFonts w:cs="Calibri"/>
          <w:sz w:val="28"/>
          <w:szCs w:val="28"/>
        </w:rPr>
        <w:t>UK</w:t>
      </w:r>
      <w:r w:rsidRPr="00F0732E">
        <w:rPr>
          <w:rFonts w:cs="Calibri"/>
          <w:sz w:val="28"/>
          <w:szCs w:val="28"/>
        </w:rPr>
        <w:tab/>
        <w:t xml:space="preserve">Univerzita Komenského v Bratislave </w:t>
      </w:r>
    </w:p>
    <w:p w:rsidR="00B51749" w:rsidRPr="00F0732E" w:rsidRDefault="00B51749" w:rsidP="00B51749">
      <w:pPr>
        <w:rPr>
          <w:rFonts w:cs="Calibri"/>
          <w:sz w:val="28"/>
          <w:szCs w:val="28"/>
        </w:rPr>
      </w:pPr>
      <w:r w:rsidRPr="00F0732E">
        <w:rPr>
          <w:rFonts w:cs="Calibri"/>
          <w:sz w:val="28"/>
          <w:szCs w:val="28"/>
        </w:rPr>
        <w:t>STU</w:t>
      </w:r>
      <w:r w:rsidRPr="00F0732E">
        <w:rPr>
          <w:rFonts w:cs="Calibri"/>
          <w:sz w:val="28"/>
          <w:szCs w:val="28"/>
        </w:rPr>
        <w:tab/>
        <w:t>Slovenská technická univerzita v Bratislave</w:t>
      </w:r>
    </w:p>
    <w:p w:rsidR="00B51749" w:rsidRPr="00F0732E" w:rsidRDefault="00B51749" w:rsidP="00B51749">
      <w:pPr>
        <w:rPr>
          <w:rFonts w:cs="Calibri"/>
          <w:sz w:val="28"/>
          <w:szCs w:val="28"/>
        </w:rPr>
      </w:pPr>
      <w:r w:rsidRPr="00F0732E">
        <w:rPr>
          <w:rFonts w:cs="Calibri"/>
          <w:sz w:val="28"/>
          <w:szCs w:val="28"/>
        </w:rPr>
        <w:t>TU KE</w:t>
      </w:r>
      <w:r w:rsidR="00385EE7">
        <w:rPr>
          <w:rFonts w:cs="Calibri"/>
          <w:sz w:val="28"/>
          <w:szCs w:val="28"/>
        </w:rPr>
        <w:t xml:space="preserve">   </w:t>
      </w:r>
      <w:r w:rsidRPr="00F0732E">
        <w:rPr>
          <w:rFonts w:cs="Calibri"/>
          <w:sz w:val="28"/>
          <w:szCs w:val="28"/>
        </w:rPr>
        <w:t>Technická univerzita v Košiciach</w:t>
      </w:r>
    </w:p>
    <w:p w:rsidR="00B51749" w:rsidRPr="00F0732E" w:rsidRDefault="00B51749" w:rsidP="00B51749">
      <w:pPr>
        <w:rPr>
          <w:rFonts w:cs="Calibri"/>
          <w:sz w:val="28"/>
          <w:szCs w:val="28"/>
        </w:rPr>
      </w:pPr>
      <w:r w:rsidRPr="00F0732E">
        <w:rPr>
          <w:rFonts w:cs="Calibri"/>
          <w:sz w:val="28"/>
          <w:szCs w:val="28"/>
        </w:rPr>
        <w:t>ŽU</w:t>
      </w:r>
      <w:r w:rsidRPr="00F0732E">
        <w:rPr>
          <w:rFonts w:cs="Calibri"/>
          <w:sz w:val="28"/>
          <w:szCs w:val="28"/>
        </w:rPr>
        <w:tab/>
        <w:t>Žilinská univerzita v Žiline</w:t>
      </w:r>
    </w:p>
    <w:p w:rsidR="00B51749" w:rsidRPr="00F0732E" w:rsidRDefault="00B51749" w:rsidP="00B51749">
      <w:pPr>
        <w:rPr>
          <w:rFonts w:cs="Calibri"/>
          <w:sz w:val="28"/>
          <w:szCs w:val="28"/>
        </w:rPr>
      </w:pPr>
      <w:r w:rsidRPr="00F0732E">
        <w:rPr>
          <w:rFonts w:cs="Calibri"/>
          <w:sz w:val="28"/>
          <w:szCs w:val="28"/>
        </w:rPr>
        <w:t>SPU</w:t>
      </w:r>
      <w:r w:rsidRPr="00F0732E">
        <w:rPr>
          <w:rFonts w:cs="Calibri"/>
          <w:sz w:val="28"/>
          <w:szCs w:val="28"/>
        </w:rPr>
        <w:tab/>
        <w:t>Slovenská poľnohospodárska univerzity v Nitre</w:t>
      </w:r>
    </w:p>
    <w:p w:rsidR="00B51749" w:rsidRPr="00F0732E" w:rsidRDefault="00B51749" w:rsidP="00B51749">
      <w:pPr>
        <w:rPr>
          <w:rFonts w:cs="Calibri"/>
          <w:sz w:val="28"/>
          <w:szCs w:val="28"/>
        </w:rPr>
      </w:pPr>
      <w:r w:rsidRPr="00F0732E">
        <w:rPr>
          <w:rFonts w:cs="Calibri"/>
          <w:sz w:val="28"/>
          <w:szCs w:val="28"/>
        </w:rPr>
        <w:t>TU ZV</w:t>
      </w:r>
      <w:r w:rsidR="00385EE7">
        <w:rPr>
          <w:rFonts w:cs="Calibri"/>
          <w:sz w:val="28"/>
          <w:szCs w:val="28"/>
        </w:rPr>
        <w:t xml:space="preserve">   </w:t>
      </w:r>
      <w:r w:rsidRPr="00F0732E">
        <w:rPr>
          <w:rFonts w:cs="Calibri"/>
          <w:sz w:val="28"/>
          <w:szCs w:val="28"/>
        </w:rPr>
        <w:t>Technická univerzita vo Zvolene</w:t>
      </w:r>
    </w:p>
    <w:p w:rsidR="00B51749" w:rsidRPr="00F0732E" w:rsidRDefault="00B51749" w:rsidP="00B51749">
      <w:pPr>
        <w:rPr>
          <w:rFonts w:cs="Calibri"/>
          <w:sz w:val="28"/>
          <w:szCs w:val="28"/>
        </w:rPr>
      </w:pPr>
      <w:r w:rsidRPr="00F0732E">
        <w:rPr>
          <w:rFonts w:cs="Calibri"/>
          <w:sz w:val="28"/>
          <w:szCs w:val="28"/>
        </w:rPr>
        <w:t xml:space="preserve">Vývoj počtu študentov STU v dennej a externej forme štúdia v jednotlivých stupňoch za posledných päť rokov je znázornený v Tabuľkách </w:t>
      </w:r>
      <w:r w:rsidR="00914C68">
        <w:rPr>
          <w:rFonts w:cs="Calibri"/>
          <w:sz w:val="28"/>
          <w:szCs w:val="28"/>
        </w:rPr>
        <w:t>3.</w:t>
      </w:r>
      <w:r w:rsidRPr="00F0732E">
        <w:rPr>
          <w:rFonts w:cs="Calibri"/>
          <w:sz w:val="28"/>
          <w:szCs w:val="28"/>
        </w:rPr>
        <w:t>5 a</w:t>
      </w:r>
      <w:r w:rsidR="00914C68">
        <w:rPr>
          <w:rFonts w:cs="Calibri"/>
          <w:sz w:val="28"/>
          <w:szCs w:val="28"/>
        </w:rPr>
        <w:t> 3.</w:t>
      </w:r>
      <w:r w:rsidRPr="00F0732E">
        <w:rPr>
          <w:rFonts w:cs="Calibri"/>
          <w:sz w:val="28"/>
          <w:szCs w:val="28"/>
        </w:rPr>
        <w:t>6 a Grafoch 3.3 až 3.5.</w:t>
      </w:r>
    </w:p>
    <w:p w:rsidR="00B51749" w:rsidRPr="00F0732E" w:rsidRDefault="00B51749" w:rsidP="00B51749">
      <w:pPr>
        <w:rPr>
          <w:rFonts w:cs="Calibri"/>
          <w:sz w:val="28"/>
          <w:szCs w:val="28"/>
        </w:rPr>
      </w:pPr>
    </w:p>
    <w:p w:rsidR="00B51749" w:rsidRPr="00F0732E" w:rsidRDefault="00B51749" w:rsidP="00B51749">
      <w:pPr>
        <w:rPr>
          <w:rFonts w:cs="Calibri"/>
          <w:b/>
          <w:bCs/>
          <w:sz w:val="28"/>
          <w:szCs w:val="28"/>
        </w:rPr>
      </w:pPr>
      <w:r w:rsidRPr="00F0732E">
        <w:rPr>
          <w:rFonts w:cs="Calibri"/>
          <w:b/>
          <w:bCs/>
          <w:sz w:val="28"/>
          <w:szCs w:val="28"/>
        </w:rPr>
        <w:t>Graf 3.3: Porovnanie počtu študentov STU na jednotlivých stupňoch štúdia za posledných päť rokov</w:t>
      </w:r>
    </w:p>
    <w:p w:rsidR="00B51749" w:rsidRPr="00F0732E" w:rsidRDefault="00B51749" w:rsidP="00B51749">
      <w:pPr>
        <w:rPr>
          <w:rFonts w:cs="Calibri"/>
          <w:sz w:val="28"/>
          <w:szCs w:val="28"/>
        </w:rPr>
      </w:pPr>
      <w:r>
        <w:rPr>
          <w:noProof/>
          <w:sz w:val="28"/>
          <w:szCs w:val="28"/>
          <w:lang w:eastAsia="sk-SK"/>
        </w:rPr>
        <w:lastRenderedPageBreak/>
        <w:drawing>
          <wp:inline distT="0" distB="0" distL="0" distR="0">
            <wp:extent cx="5553075" cy="3038475"/>
            <wp:effectExtent l="0" t="0" r="0" b="0"/>
            <wp:docPr id="43" name="Graf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1749" w:rsidRPr="00F0732E" w:rsidRDefault="00B51749" w:rsidP="00B51749">
      <w:pPr>
        <w:rPr>
          <w:rFonts w:cs="Calibri"/>
          <w:sz w:val="28"/>
          <w:szCs w:val="28"/>
        </w:rPr>
      </w:pPr>
    </w:p>
    <w:p w:rsidR="00B51749" w:rsidRDefault="00B51749" w:rsidP="00B51749">
      <w:pPr>
        <w:rPr>
          <w:rFonts w:cs="Calibri"/>
          <w:b/>
          <w:sz w:val="28"/>
          <w:szCs w:val="28"/>
        </w:rPr>
      </w:pPr>
    </w:p>
    <w:p w:rsidR="0000089C" w:rsidRPr="00F0732E" w:rsidRDefault="0000089C" w:rsidP="00B51749">
      <w:pPr>
        <w:rPr>
          <w:rFonts w:cs="Calibri"/>
          <w:b/>
          <w:sz w:val="28"/>
          <w:szCs w:val="28"/>
        </w:rPr>
      </w:pPr>
    </w:p>
    <w:p w:rsidR="00B51749" w:rsidRPr="00F0732E" w:rsidRDefault="00B51749" w:rsidP="00B51749">
      <w:pPr>
        <w:rPr>
          <w:rFonts w:cs="Calibri"/>
          <w:b/>
          <w:sz w:val="28"/>
          <w:szCs w:val="28"/>
        </w:rPr>
      </w:pPr>
      <w:r w:rsidRPr="00F0732E">
        <w:rPr>
          <w:rFonts w:cs="Calibri"/>
          <w:b/>
          <w:sz w:val="28"/>
          <w:szCs w:val="28"/>
        </w:rPr>
        <w:t>Tabuľka 3.5: Vývoj počtu študentov STU v dennej forme štúdia za posledných päť rokov</w:t>
      </w:r>
    </w:p>
    <w:tbl>
      <w:tblPr>
        <w:tblW w:w="8870" w:type="dxa"/>
        <w:tblInd w:w="55" w:type="dxa"/>
        <w:tblCellMar>
          <w:left w:w="70" w:type="dxa"/>
          <w:right w:w="70" w:type="dxa"/>
        </w:tblCellMar>
        <w:tblLook w:val="04A0" w:firstRow="1" w:lastRow="0" w:firstColumn="1" w:lastColumn="0" w:noHBand="0" w:noVBand="1"/>
      </w:tblPr>
      <w:tblGrid>
        <w:gridCol w:w="1433"/>
        <w:gridCol w:w="1518"/>
        <w:gridCol w:w="1518"/>
        <w:gridCol w:w="1518"/>
        <w:gridCol w:w="1518"/>
        <w:gridCol w:w="1518"/>
      </w:tblGrid>
      <w:tr w:rsidR="00B51749" w:rsidRPr="00F0732E" w:rsidTr="00385EE7">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Stupeň</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2009/2010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2010/2011</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2011/2012</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2012/2013</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2013/2014</w:t>
            </w:r>
          </w:p>
        </w:tc>
      </w:tr>
      <w:tr w:rsidR="00B51749" w:rsidRPr="00F0732E" w:rsidTr="00385EE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 stupeň</w:t>
            </w:r>
          </w:p>
        </w:tc>
        <w:tc>
          <w:tcPr>
            <w:tcW w:w="1365"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10 635</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10 508</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10 573</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10 780</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10 582</w:t>
            </w:r>
          </w:p>
        </w:tc>
      </w:tr>
      <w:tr w:rsidR="00B51749" w:rsidRPr="00F0732E" w:rsidTr="00385EE7">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 stupeň</w:t>
            </w:r>
          </w:p>
        </w:tc>
        <w:tc>
          <w:tcPr>
            <w:tcW w:w="1365"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5 227</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5 424</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5 197</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4 640</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4 419</w:t>
            </w:r>
          </w:p>
        </w:tc>
      </w:tr>
      <w:tr w:rsidR="00B51749" w:rsidRPr="00F0732E" w:rsidTr="00385EE7">
        <w:trPr>
          <w:trHeight w:val="315"/>
        </w:trPr>
        <w:tc>
          <w:tcPr>
            <w:tcW w:w="1433" w:type="dxa"/>
            <w:tcBorders>
              <w:top w:val="single" w:sz="4" w:space="0" w:color="auto"/>
              <w:left w:val="double" w:sz="4" w:space="0" w:color="auto"/>
              <w:bottom w:val="single" w:sz="4" w:space="0" w:color="auto"/>
              <w:right w:val="nil"/>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III. stupeň</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1 042</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1 156</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1 198</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1 093</w:t>
            </w:r>
          </w:p>
        </w:tc>
        <w:tc>
          <w:tcPr>
            <w:tcW w:w="15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957</w:t>
            </w:r>
          </w:p>
        </w:tc>
      </w:tr>
      <w:tr w:rsidR="00B51749" w:rsidRPr="00F0732E" w:rsidTr="00385EE7">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Spolu</w:t>
            </w:r>
          </w:p>
        </w:tc>
        <w:tc>
          <w:tcPr>
            <w:tcW w:w="1365" w:type="dxa"/>
            <w:tcBorders>
              <w:top w:val="nil"/>
              <w:left w:val="nil"/>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16 904</w:t>
            </w:r>
          </w:p>
        </w:tc>
        <w:tc>
          <w:tcPr>
            <w:tcW w:w="1518" w:type="dxa"/>
            <w:tcBorders>
              <w:top w:val="nil"/>
              <w:left w:val="nil"/>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17 088</w:t>
            </w:r>
          </w:p>
        </w:tc>
        <w:tc>
          <w:tcPr>
            <w:tcW w:w="1518" w:type="dxa"/>
            <w:tcBorders>
              <w:top w:val="nil"/>
              <w:left w:val="nil"/>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16 968</w:t>
            </w:r>
          </w:p>
        </w:tc>
        <w:tc>
          <w:tcPr>
            <w:tcW w:w="1518" w:type="dxa"/>
            <w:tcBorders>
              <w:top w:val="nil"/>
              <w:left w:val="nil"/>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16 513</w:t>
            </w:r>
          </w:p>
        </w:tc>
        <w:tc>
          <w:tcPr>
            <w:tcW w:w="1518" w:type="dxa"/>
            <w:tcBorders>
              <w:top w:val="nil"/>
              <w:left w:val="nil"/>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15 958</w:t>
            </w:r>
          </w:p>
        </w:tc>
      </w:tr>
    </w:tbl>
    <w:p w:rsidR="00385EE7" w:rsidRDefault="00385EE7" w:rsidP="00B51749">
      <w:pPr>
        <w:rPr>
          <w:rFonts w:cs="Calibri"/>
          <w:b/>
          <w:sz w:val="28"/>
          <w:szCs w:val="28"/>
        </w:rPr>
      </w:pPr>
    </w:p>
    <w:p w:rsidR="00B51749" w:rsidRPr="00F0732E" w:rsidRDefault="00B51749" w:rsidP="00B51749">
      <w:pPr>
        <w:rPr>
          <w:rFonts w:cs="Calibri"/>
          <w:b/>
          <w:sz w:val="28"/>
          <w:szCs w:val="28"/>
        </w:rPr>
      </w:pPr>
      <w:r w:rsidRPr="00F0732E">
        <w:rPr>
          <w:rFonts w:cs="Calibri"/>
          <w:b/>
          <w:sz w:val="28"/>
          <w:szCs w:val="28"/>
        </w:rPr>
        <w:t>Graf 3.4: Počet študentov dennej formy štúdia za posledných päť rokov</w:t>
      </w:r>
    </w:p>
    <w:p w:rsidR="00B51749" w:rsidRPr="00F0732E" w:rsidRDefault="00B51749" w:rsidP="00B51749">
      <w:pPr>
        <w:rPr>
          <w:rFonts w:cs="Calibri"/>
          <w:sz w:val="28"/>
          <w:szCs w:val="28"/>
        </w:rPr>
      </w:pPr>
      <w:r>
        <w:rPr>
          <w:noProof/>
          <w:sz w:val="28"/>
          <w:szCs w:val="28"/>
          <w:lang w:eastAsia="sk-SK"/>
        </w:rPr>
        <w:drawing>
          <wp:inline distT="0" distB="0" distL="0" distR="0">
            <wp:extent cx="4991100" cy="3105150"/>
            <wp:effectExtent l="0" t="0" r="0" b="0"/>
            <wp:docPr id="42" name="Graf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Z grafov je vidieť, že </w:t>
      </w:r>
      <w:r w:rsidRPr="00F0732E">
        <w:rPr>
          <w:rFonts w:cs="Calibri"/>
          <w:b/>
          <w:sz w:val="28"/>
          <w:szCs w:val="28"/>
        </w:rPr>
        <w:t xml:space="preserve">denná forma je dlhodobo stabilná, </w:t>
      </w:r>
      <w:r w:rsidRPr="00F0732E">
        <w:rPr>
          <w:rFonts w:cs="Calibri"/>
          <w:sz w:val="28"/>
          <w:szCs w:val="28"/>
        </w:rPr>
        <w:t xml:space="preserve">napriek tomu sme na každom stupni zaznamenali medziročný pokles študentov </w:t>
      </w:r>
      <w:r w:rsidR="006233A4">
        <w:rPr>
          <w:rFonts w:cs="Calibri"/>
          <w:sz w:val="28"/>
          <w:szCs w:val="28"/>
        </w:rPr>
        <w:t>–</w:t>
      </w:r>
      <w:r w:rsidRPr="00F0732E">
        <w:rPr>
          <w:rFonts w:cs="Calibri"/>
          <w:sz w:val="28"/>
          <w:szCs w:val="28"/>
        </w:rPr>
        <w:t xml:space="preserve"> </w:t>
      </w:r>
      <w:r w:rsidRPr="00F0732E">
        <w:rPr>
          <w:rFonts w:cs="Calibri"/>
          <w:b/>
          <w:sz w:val="28"/>
          <w:szCs w:val="28"/>
        </w:rPr>
        <w:t>2</w:t>
      </w:r>
      <w:r w:rsidR="006233A4">
        <w:rPr>
          <w:rFonts w:cs="Calibri"/>
          <w:b/>
          <w:sz w:val="28"/>
          <w:szCs w:val="28"/>
        </w:rPr>
        <w:t xml:space="preserve"> </w:t>
      </w:r>
      <w:r w:rsidRPr="00F0732E">
        <w:rPr>
          <w:rFonts w:cs="Calibri"/>
          <w:b/>
          <w:sz w:val="28"/>
          <w:szCs w:val="28"/>
        </w:rPr>
        <w:t>% na I. stupni</w:t>
      </w:r>
      <w:r w:rsidRPr="00F0732E">
        <w:rPr>
          <w:rFonts w:cs="Calibri"/>
          <w:sz w:val="28"/>
          <w:szCs w:val="28"/>
        </w:rPr>
        <w:t xml:space="preserve">, </w:t>
      </w:r>
      <w:r w:rsidRPr="00F0732E">
        <w:rPr>
          <w:rFonts w:cs="Calibri"/>
          <w:b/>
          <w:sz w:val="28"/>
          <w:szCs w:val="28"/>
        </w:rPr>
        <w:t>5</w:t>
      </w:r>
      <w:r w:rsidR="006233A4">
        <w:rPr>
          <w:rFonts w:cs="Calibri"/>
          <w:b/>
          <w:sz w:val="28"/>
          <w:szCs w:val="28"/>
        </w:rPr>
        <w:t xml:space="preserve"> </w:t>
      </w:r>
      <w:r w:rsidRPr="00F0732E">
        <w:rPr>
          <w:rFonts w:cs="Calibri"/>
          <w:b/>
          <w:sz w:val="28"/>
          <w:szCs w:val="28"/>
        </w:rPr>
        <w:t>% na II. stupni</w:t>
      </w:r>
      <w:r w:rsidRPr="00F0732E">
        <w:rPr>
          <w:rFonts w:cs="Calibri"/>
          <w:sz w:val="28"/>
          <w:szCs w:val="28"/>
        </w:rPr>
        <w:t xml:space="preserve"> a</w:t>
      </w:r>
      <w:r w:rsidR="006233A4">
        <w:rPr>
          <w:rFonts w:cs="Calibri"/>
          <w:sz w:val="28"/>
          <w:szCs w:val="28"/>
        </w:rPr>
        <w:t> </w:t>
      </w:r>
      <w:r w:rsidRPr="00F0732E">
        <w:rPr>
          <w:rFonts w:cs="Calibri"/>
          <w:b/>
          <w:sz w:val="28"/>
          <w:szCs w:val="28"/>
        </w:rPr>
        <w:t>12</w:t>
      </w:r>
      <w:r w:rsidR="006233A4">
        <w:rPr>
          <w:rFonts w:cs="Calibri"/>
          <w:b/>
          <w:sz w:val="28"/>
          <w:szCs w:val="28"/>
        </w:rPr>
        <w:t xml:space="preserve"> </w:t>
      </w:r>
      <w:r w:rsidRPr="00F0732E">
        <w:rPr>
          <w:rFonts w:cs="Calibri"/>
          <w:b/>
          <w:sz w:val="28"/>
          <w:szCs w:val="28"/>
        </w:rPr>
        <w:t>% na III. stupni</w:t>
      </w:r>
      <w:r w:rsidRPr="00F0732E">
        <w:rPr>
          <w:rFonts w:cs="Calibri"/>
          <w:sz w:val="28"/>
          <w:szCs w:val="28"/>
        </w:rPr>
        <w:t xml:space="preserve">.  </w:t>
      </w:r>
    </w:p>
    <w:p w:rsidR="00B51749" w:rsidRPr="00F0732E" w:rsidRDefault="00B51749" w:rsidP="00B51749">
      <w:pPr>
        <w:rPr>
          <w:rFonts w:cs="Calibri"/>
          <w:sz w:val="28"/>
          <w:szCs w:val="28"/>
        </w:rPr>
      </w:pPr>
      <w:r w:rsidRPr="00F0732E">
        <w:rPr>
          <w:rFonts w:cs="Calibri"/>
          <w:sz w:val="28"/>
          <w:szCs w:val="28"/>
        </w:rPr>
        <w:t>Celkove je medziročný pokles študentov na dennej forme 3,4</w:t>
      </w:r>
      <w:r w:rsidR="006233A4">
        <w:rPr>
          <w:rFonts w:cs="Calibri"/>
          <w:sz w:val="28"/>
          <w:szCs w:val="28"/>
        </w:rPr>
        <w:t xml:space="preserve"> </w:t>
      </w:r>
      <w:r w:rsidRPr="00F0732E">
        <w:rPr>
          <w:rFonts w:cs="Calibri"/>
          <w:sz w:val="28"/>
          <w:szCs w:val="28"/>
        </w:rPr>
        <w:t>%. Je to dôsledok celkového poklesu počtu študentov v súvislosti s</w:t>
      </w:r>
      <w:r w:rsidR="006233A4">
        <w:rPr>
          <w:rFonts w:cs="Calibri"/>
          <w:sz w:val="28"/>
          <w:szCs w:val="28"/>
        </w:rPr>
        <w:t> </w:t>
      </w:r>
      <w:r w:rsidRPr="00F0732E">
        <w:rPr>
          <w:rFonts w:cs="Calibri"/>
          <w:sz w:val="28"/>
          <w:szCs w:val="28"/>
        </w:rPr>
        <w:t>demografickou</w:t>
      </w:r>
      <w:r w:rsidR="006233A4">
        <w:rPr>
          <w:rFonts w:cs="Calibri"/>
          <w:sz w:val="28"/>
          <w:szCs w:val="28"/>
        </w:rPr>
        <w:t xml:space="preserve"> krivkou</w:t>
      </w:r>
      <w:r w:rsidRPr="00F0732E">
        <w:rPr>
          <w:rFonts w:cs="Calibri"/>
          <w:sz w:val="28"/>
          <w:szCs w:val="28"/>
        </w:rPr>
        <w:t>.</w:t>
      </w:r>
    </w:p>
    <w:p w:rsidR="00B51749" w:rsidRPr="00F0732E" w:rsidRDefault="00B51749" w:rsidP="00B51749">
      <w:pPr>
        <w:rPr>
          <w:rFonts w:cs="Calibri"/>
          <w:sz w:val="28"/>
          <w:szCs w:val="28"/>
        </w:rPr>
      </w:pPr>
      <w:r w:rsidRPr="00F0732E">
        <w:rPr>
          <w:rFonts w:cs="Calibri"/>
          <w:sz w:val="28"/>
          <w:szCs w:val="28"/>
        </w:rPr>
        <w:t>V  externej forme je zrejmý výrazný pokles počtu študentov na všetkých troch stupňoch štúdia</w:t>
      </w:r>
      <w:r w:rsidR="00385EE7">
        <w:rPr>
          <w:rFonts w:cs="Calibri"/>
          <w:sz w:val="28"/>
          <w:szCs w:val="28"/>
        </w:rPr>
        <w:t>.</w:t>
      </w:r>
      <w:r w:rsidRPr="00F0732E">
        <w:rPr>
          <w:rFonts w:cs="Calibri"/>
          <w:sz w:val="28"/>
          <w:szCs w:val="28"/>
        </w:rPr>
        <w:t xml:space="preserve"> Celkovo sa znížil počet študentov v externej forme štúdia za posledných 5 rokov o 67 %, pričom v hodnotenom roku evidujeme externých študentov v podstate len na PhD. stupni.</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3.6: Vývoj počtu študentov STU v externej forme štúdia za posledných päť rokov</w:t>
      </w:r>
    </w:p>
    <w:tbl>
      <w:tblPr>
        <w:tblW w:w="7680" w:type="dxa"/>
        <w:tblInd w:w="55" w:type="dxa"/>
        <w:tblCellMar>
          <w:left w:w="70" w:type="dxa"/>
          <w:right w:w="70" w:type="dxa"/>
        </w:tblCellMar>
        <w:tblLook w:val="04A0" w:firstRow="1" w:lastRow="0" w:firstColumn="1" w:lastColumn="0" w:noHBand="0" w:noVBand="1"/>
      </w:tblPr>
      <w:tblGrid>
        <w:gridCol w:w="1280"/>
        <w:gridCol w:w="1518"/>
        <w:gridCol w:w="1518"/>
        <w:gridCol w:w="1518"/>
        <w:gridCol w:w="1518"/>
        <w:gridCol w:w="1518"/>
      </w:tblGrid>
      <w:tr w:rsidR="00B51749" w:rsidRPr="00F0732E" w:rsidTr="004475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Stupeň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2009/2010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2010/2011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2011/2012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2012/2013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2013/2014</w:t>
            </w:r>
          </w:p>
        </w:tc>
      </w:tr>
      <w:tr w:rsidR="00B51749" w:rsidRPr="00F0732E" w:rsidTr="00447572">
        <w:trPr>
          <w:trHeight w:val="315"/>
        </w:trPr>
        <w:tc>
          <w:tcPr>
            <w:tcW w:w="1280" w:type="dxa"/>
            <w:tcBorders>
              <w:top w:val="nil"/>
              <w:left w:val="single" w:sz="4" w:space="0" w:color="auto"/>
              <w:bottom w:val="nil"/>
              <w:right w:val="nil"/>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 stupeň</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770</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467</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252</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103</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37</w:t>
            </w:r>
          </w:p>
        </w:tc>
      </w:tr>
      <w:tr w:rsidR="00B51749" w:rsidRPr="00F0732E" w:rsidTr="00447572">
        <w:trPr>
          <w:trHeight w:val="315"/>
        </w:trPr>
        <w:tc>
          <w:tcPr>
            <w:tcW w:w="1280" w:type="dxa"/>
            <w:tcBorders>
              <w:top w:val="nil"/>
              <w:left w:val="single" w:sz="4" w:space="0" w:color="auto"/>
              <w:bottom w:val="nil"/>
              <w:right w:val="nil"/>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 stupeň</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447572">
        <w:trPr>
          <w:trHeight w:val="315"/>
        </w:trPr>
        <w:tc>
          <w:tcPr>
            <w:tcW w:w="1280" w:type="dxa"/>
            <w:tcBorders>
              <w:top w:val="nil"/>
              <w:left w:val="single" w:sz="4" w:space="0" w:color="auto"/>
              <w:bottom w:val="nil"/>
              <w:right w:val="nil"/>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III. stupeň</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571</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584</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493</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443</w:t>
            </w:r>
          </w:p>
        </w:tc>
        <w:tc>
          <w:tcPr>
            <w:tcW w:w="128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407</w:t>
            </w:r>
          </w:p>
        </w:tc>
      </w:tr>
      <w:tr w:rsidR="00B51749" w:rsidRPr="00F0732E" w:rsidTr="00447572">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Spolu</w:t>
            </w:r>
          </w:p>
        </w:tc>
        <w:tc>
          <w:tcPr>
            <w:tcW w:w="128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1 349</w:t>
            </w:r>
          </w:p>
        </w:tc>
        <w:tc>
          <w:tcPr>
            <w:tcW w:w="128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1 054</w:t>
            </w:r>
          </w:p>
        </w:tc>
        <w:tc>
          <w:tcPr>
            <w:tcW w:w="128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768</w:t>
            </w:r>
          </w:p>
        </w:tc>
        <w:tc>
          <w:tcPr>
            <w:tcW w:w="128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546</w:t>
            </w:r>
          </w:p>
        </w:tc>
        <w:tc>
          <w:tcPr>
            <w:tcW w:w="128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444</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Graf 3.5: Počet študentov externej formy štúdia za posledných päť rokov</w:t>
      </w:r>
    </w:p>
    <w:p w:rsidR="00B51749" w:rsidRPr="00F0732E" w:rsidRDefault="00B51749" w:rsidP="00B51749">
      <w:pPr>
        <w:rPr>
          <w:rFonts w:cs="Calibri"/>
          <w:sz w:val="28"/>
          <w:szCs w:val="28"/>
        </w:rPr>
      </w:pPr>
      <w:r>
        <w:rPr>
          <w:noProof/>
          <w:sz w:val="28"/>
          <w:szCs w:val="28"/>
          <w:lang w:eastAsia="sk-SK"/>
        </w:rPr>
        <w:drawing>
          <wp:inline distT="0" distB="0" distL="0" distR="0">
            <wp:extent cx="5048250" cy="3190875"/>
            <wp:effectExtent l="0" t="0" r="0" b="0"/>
            <wp:docPr id="41" name="Graf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lastRenderedPageBreak/>
        <w:t>Pokles študentov v externej forme na I. a II. stupni štúdia je dôsledkom orientácie sa STU predovšetkým na dennú formu z dôvodu špecifických nárokov štúdia v technických odboroch na laboratórnu a seminárnu prácu, ktorej organizácia je pri veľkých počtoch externých študentov náročná. Okrem toho pokles študentov v externej forme štúdia je aj dôsledkom jeho spoplatňovania, od ak. roku 2011/2012 nariadeného zákonom.</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Podrobnejší pohľad na štruktúru a počet študentov na STU v jednotlivých stupňoch a formách štúdia a pohľad na ich úbytok počas štúdia je uvedený v nasledovnom prehľade.</w:t>
      </w:r>
    </w:p>
    <w:p w:rsidR="00B51749" w:rsidRPr="00015511" w:rsidRDefault="00B51749" w:rsidP="00B51749">
      <w:pPr>
        <w:rPr>
          <w:rFonts w:cs="Calibri"/>
          <w:sz w:val="28"/>
          <w:szCs w:val="28"/>
        </w:rPr>
      </w:pPr>
    </w:p>
    <w:p w:rsidR="00015511" w:rsidRPr="00015511" w:rsidRDefault="00015511" w:rsidP="00015511">
      <w:pPr>
        <w:spacing w:after="120"/>
        <w:outlineLvl w:val="0"/>
        <w:rPr>
          <w:rFonts w:cs="Calibri"/>
          <w:sz w:val="28"/>
          <w:szCs w:val="28"/>
        </w:rPr>
      </w:pPr>
      <w:r w:rsidRPr="00015511">
        <w:rPr>
          <w:rFonts w:cs="Calibri"/>
          <w:sz w:val="28"/>
          <w:szCs w:val="28"/>
        </w:rPr>
        <w:t>Prehľad počtu študentov STU študujúcich na jednotlivých stupňoch vysokoškolského štúdia v akad. roku 2014/2015 k 31.10.2014 a porovnanie za posledných šesť akad. rokov je uvedený v tabuľkovej prílohe v </w:t>
      </w:r>
      <w:r w:rsidR="0067123B">
        <w:rPr>
          <w:rFonts w:cs="Calibri"/>
          <w:sz w:val="28"/>
          <w:szCs w:val="28"/>
        </w:rPr>
        <w:t>T</w:t>
      </w:r>
      <w:r w:rsidRPr="00015511">
        <w:rPr>
          <w:rFonts w:cs="Calibri"/>
          <w:sz w:val="28"/>
          <w:szCs w:val="28"/>
        </w:rPr>
        <w:t xml:space="preserve">abuľkách 1 a 1a. </w:t>
      </w:r>
    </w:p>
    <w:p w:rsidR="00B51749" w:rsidRPr="00F0732E" w:rsidRDefault="00B51749" w:rsidP="00B51749">
      <w:pPr>
        <w:rPr>
          <w:color w:val="FF0000"/>
          <w:sz w:val="28"/>
          <w:szCs w:val="28"/>
        </w:rPr>
      </w:pPr>
    </w:p>
    <w:p w:rsidR="00B51749" w:rsidRPr="00F0732E" w:rsidRDefault="00B51749" w:rsidP="00B51749">
      <w:pPr>
        <w:pStyle w:val="Nadpis3"/>
        <w:rPr>
          <w:rFonts w:ascii="Cambria" w:hAnsi="Cambria"/>
          <w:color w:val="auto"/>
          <w:sz w:val="28"/>
          <w:szCs w:val="28"/>
        </w:rPr>
      </w:pPr>
      <w:bookmarkStart w:id="7" w:name="_Toc413009310"/>
      <w:r w:rsidRPr="00F0732E">
        <w:rPr>
          <w:rFonts w:ascii="Cambria" w:hAnsi="Cambria"/>
          <w:color w:val="auto"/>
          <w:sz w:val="28"/>
          <w:szCs w:val="28"/>
        </w:rPr>
        <w:t>Prvý stupeň štúdia – počet a úbytok študentov</w:t>
      </w:r>
      <w:bookmarkEnd w:id="7"/>
    </w:p>
    <w:p w:rsidR="00B51749" w:rsidRPr="00F0732E" w:rsidRDefault="00B51749" w:rsidP="00B51749">
      <w:pPr>
        <w:rPr>
          <w:b/>
          <w:color w:val="FF0000"/>
          <w:sz w:val="28"/>
          <w:szCs w:val="28"/>
          <w:lang w:eastAsia="cs-CZ"/>
        </w:rPr>
      </w:pPr>
    </w:p>
    <w:p w:rsidR="00B51749" w:rsidRPr="00F0732E" w:rsidRDefault="00B51749" w:rsidP="00B51749">
      <w:pPr>
        <w:rPr>
          <w:rFonts w:cs="Calibri"/>
          <w:sz w:val="20"/>
          <w:szCs w:val="20"/>
        </w:rPr>
      </w:pPr>
      <w:r w:rsidRPr="00F0732E">
        <w:rPr>
          <w:rFonts w:cs="Calibri"/>
          <w:b/>
          <w:sz w:val="28"/>
          <w:szCs w:val="28"/>
        </w:rPr>
        <w:t>Tabuľka 3.7: Počet a úbytok študentov prvého stupňa štúdia v dennej forme v akad. roku 2013/2014</w:t>
      </w:r>
      <w:r w:rsidRPr="00F0732E">
        <w:rPr>
          <w:rFonts w:cs="Calibri"/>
          <w:sz w:val="20"/>
          <w:szCs w:val="20"/>
        </w:rPr>
        <w:t xml:space="preserve"> </w:t>
      </w:r>
    </w:p>
    <w:tbl>
      <w:tblPr>
        <w:tblW w:w="9320" w:type="dxa"/>
        <w:tblInd w:w="55" w:type="dxa"/>
        <w:tblLayout w:type="fixed"/>
        <w:tblCellMar>
          <w:left w:w="70" w:type="dxa"/>
          <w:right w:w="70" w:type="dxa"/>
        </w:tblCellMar>
        <w:tblLook w:val="04A0" w:firstRow="1" w:lastRow="0" w:firstColumn="1" w:lastColumn="0" w:noHBand="0" w:noVBand="1"/>
      </w:tblPr>
      <w:tblGrid>
        <w:gridCol w:w="907"/>
        <w:gridCol w:w="1004"/>
        <w:gridCol w:w="664"/>
        <w:gridCol w:w="664"/>
        <w:gridCol w:w="1300"/>
        <w:gridCol w:w="1031"/>
        <w:gridCol w:w="966"/>
        <w:gridCol w:w="1199"/>
        <w:gridCol w:w="644"/>
        <w:gridCol w:w="941"/>
      </w:tblGrid>
      <w:tr w:rsidR="00B51749" w:rsidRPr="00F0732E" w:rsidTr="00447572">
        <w:trPr>
          <w:trHeight w:val="255"/>
        </w:trPr>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Fakulta</w:t>
            </w:r>
          </w:p>
        </w:tc>
        <w:tc>
          <w:tcPr>
            <w:tcW w:w="3632" w:type="dxa"/>
            <w:gridSpan w:val="4"/>
            <w:tcBorders>
              <w:top w:val="single" w:sz="4" w:space="0" w:color="auto"/>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1. ročník</w:t>
            </w:r>
          </w:p>
        </w:tc>
        <w:tc>
          <w:tcPr>
            <w:tcW w:w="1997" w:type="dxa"/>
            <w:gridSpan w:val="2"/>
            <w:tcBorders>
              <w:top w:val="single" w:sz="4" w:space="0" w:color="auto"/>
              <w:left w:val="nil"/>
              <w:bottom w:val="single" w:sz="4" w:space="0" w:color="auto"/>
              <w:right w:val="single" w:sz="4" w:space="0" w:color="000000"/>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2. ročník</w:t>
            </w:r>
          </w:p>
        </w:tc>
        <w:tc>
          <w:tcPr>
            <w:tcW w:w="11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3. ročník zapísaní</w:t>
            </w:r>
          </w:p>
        </w:tc>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4. roč.</w:t>
            </w:r>
          </w:p>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Zapísaní</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w:t>
            </w:r>
            <w:r w:rsidRPr="00F0732E">
              <w:rPr>
                <w:rFonts w:eastAsia="Times New Roman" w:cs="Arial"/>
                <w:b/>
                <w:bCs/>
                <w:sz w:val="22"/>
                <w:szCs w:val="22"/>
                <w:vertAlign w:val="subscript"/>
                <w:lang w:eastAsia="sk-SK"/>
              </w:rPr>
              <w:t>Z</w:t>
            </w:r>
          </w:p>
        </w:tc>
      </w:tr>
      <w:tr w:rsidR="00B51749" w:rsidRPr="00F0732E" w:rsidTr="00447572">
        <w:trPr>
          <w:trHeight w:val="255"/>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Zapísaní </w:t>
            </w:r>
          </w:p>
        </w:tc>
        <w:tc>
          <w:tcPr>
            <w:tcW w:w="1328" w:type="dxa"/>
            <w:gridSpan w:val="2"/>
            <w:tcBorders>
              <w:top w:val="single" w:sz="4" w:space="0" w:color="auto"/>
              <w:left w:val="nil"/>
              <w:bottom w:val="nil"/>
              <w:right w:val="single" w:sz="4" w:space="0" w:color="000000"/>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úbytok </w:t>
            </w:r>
          </w:p>
        </w:tc>
        <w:tc>
          <w:tcPr>
            <w:tcW w:w="1300" w:type="dxa"/>
            <w:vMerge w:val="restart"/>
            <w:tcBorders>
              <w:top w:val="nil"/>
              <w:left w:val="single" w:sz="4" w:space="0" w:color="auto"/>
              <w:bottom w:val="single" w:sz="4" w:space="0" w:color="000000"/>
              <w:right w:val="single" w:sz="4" w:space="0" w:color="auto"/>
            </w:tcBorders>
            <w:shd w:val="clear" w:color="auto" w:fill="D9D9D9"/>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celkový úbytok            po 1. roč. </w:t>
            </w:r>
          </w:p>
        </w:tc>
        <w:tc>
          <w:tcPr>
            <w:tcW w:w="10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Zapísaní</w:t>
            </w:r>
          </w:p>
        </w:tc>
        <w:tc>
          <w:tcPr>
            <w:tcW w:w="966" w:type="dxa"/>
            <w:vMerge w:val="restart"/>
            <w:tcBorders>
              <w:top w:val="nil"/>
              <w:left w:val="single" w:sz="4" w:space="0" w:color="auto"/>
              <w:bottom w:val="single" w:sz="4" w:space="0" w:color="000000"/>
              <w:right w:val="single" w:sz="4" w:space="0" w:color="auto"/>
            </w:tcBorders>
            <w:shd w:val="clear" w:color="auto" w:fill="D9D9D9"/>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úbytok                  po </w:t>
            </w:r>
          </w:p>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2. roč. </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lang w:eastAsia="sk-SK"/>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lang w:eastAsia="sk-SK"/>
              </w:rPr>
            </w:pPr>
          </w:p>
        </w:tc>
      </w:tr>
      <w:tr w:rsidR="00B51749" w:rsidRPr="00F0732E" w:rsidTr="00447572">
        <w:trPr>
          <w:trHeight w:val="270"/>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1004"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 xml:space="preserve">po ZS </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po LS</w:t>
            </w:r>
          </w:p>
        </w:tc>
        <w:tc>
          <w:tcPr>
            <w:tcW w:w="1300" w:type="dxa"/>
            <w:vMerge/>
            <w:tcBorders>
              <w:top w:val="nil"/>
              <w:left w:val="single" w:sz="4" w:space="0" w:color="auto"/>
              <w:bottom w:val="single" w:sz="4" w:space="0" w:color="000000"/>
              <w:right w:val="single" w:sz="4" w:space="0" w:color="auto"/>
            </w:tcBorders>
            <w:shd w:val="clear" w:color="auto" w:fill="D9D9D9"/>
            <w:vAlign w:val="center"/>
            <w:hideMark/>
          </w:tcPr>
          <w:p w:rsidR="00B51749" w:rsidRPr="00F0732E" w:rsidRDefault="00B51749" w:rsidP="00447572">
            <w:pPr>
              <w:rPr>
                <w:rFonts w:eastAsia="Times New Roman" w:cs="Arial"/>
                <w:b/>
                <w:bCs/>
                <w:lang w:eastAsia="sk-SK"/>
              </w:rPr>
            </w:pPr>
          </w:p>
        </w:tc>
        <w:tc>
          <w:tcPr>
            <w:tcW w:w="1031"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966" w:type="dxa"/>
            <w:vMerge/>
            <w:tcBorders>
              <w:top w:val="nil"/>
              <w:left w:val="single" w:sz="4" w:space="0" w:color="auto"/>
              <w:bottom w:val="single" w:sz="4" w:space="0" w:color="000000"/>
              <w:right w:val="single" w:sz="4" w:space="0" w:color="auto"/>
            </w:tcBorders>
            <w:shd w:val="clear" w:color="auto" w:fill="D9D9D9"/>
            <w:vAlign w:val="center"/>
            <w:hideMark/>
          </w:tcPr>
          <w:p w:rsidR="00B51749" w:rsidRPr="00F0732E" w:rsidRDefault="00B51749" w:rsidP="00447572">
            <w:pPr>
              <w:rPr>
                <w:rFonts w:eastAsia="Times New Roman" w:cs="Arial"/>
                <w:b/>
                <w:bCs/>
                <w:lang w:eastAsia="sk-SK"/>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lang w:eastAsia="sk-SK"/>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lang w:eastAsia="sk-SK"/>
              </w:rPr>
            </w:pP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SvF</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656</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21%</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10%</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31%</w:t>
            </w:r>
          </w:p>
        </w:tc>
        <w:tc>
          <w:tcPr>
            <w:tcW w:w="1031"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647</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34%</w:t>
            </w:r>
          </w:p>
        </w:tc>
        <w:tc>
          <w:tcPr>
            <w:tcW w:w="1199"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685</w:t>
            </w:r>
          </w:p>
        </w:tc>
        <w:tc>
          <w:tcPr>
            <w:tcW w:w="64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359</w:t>
            </w:r>
          </w:p>
        </w:tc>
        <w:tc>
          <w:tcPr>
            <w:tcW w:w="941" w:type="dxa"/>
            <w:tcBorders>
              <w:top w:val="nil"/>
              <w:left w:val="nil"/>
              <w:bottom w:val="single" w:sz="4" w:space="0" w:color="auto"/>
              <w:right w:val="single" w:sz="8"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2 347</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SjF</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406</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40%</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10%</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44%</w:t>
            </w:r>
          </w:p>
        </w:tc>
        <w:tc>
          <w:tcPr>
            <w:tcW w:w="103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291</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26%</w:t>
            </w:r>
          </w:p>
        </w:tc>
        <w:tc>
          <w:tcPr>
            <w:tcW w:w="1199"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215</w:t>
            </w:r>
          </w:p>
        </w:tc>
        <w:tc>
          <w:tcPr>
            <w:tcW w:w="64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912</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FEI</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887</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39%</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12%</w:t>
            </w:r>
          </w:p>
        </w:tc>
        <w:tc>
          <w:tcPr>
            <w:tcW w:w="130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52%</w:t>
            </w:r>
          </w:p>
        </w:tc>
        <w:tc>
          <w:tcPr>
            <w:tcW w:w="103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384</w:t>
            </w:r>
          </w:p>
        </w:tc>
        <w:tc>
          <w:tcPr>
            <w:tcW w:w="966"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14%</w:t>
            </w:r>
          </w:p>
        </w:tc>
        <w:tc>
          <w:tcPr>
            <w:tcW w:w="1199"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393</w:t>
            </w:r>
          </w:p>
        </w:tc>
        <w:tc>
          <w:tcPr>
            <w:tcW w:w="64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1 664</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FCHPT</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853</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31%</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18%</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49%</w:t>
            </w:r>
          </w:p>
        </w:tc>
        <w:tc>
          <w:tcPr>
            <w:tcW w:w="1031"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484</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20%</w:t>
            </w:r>
          </w:p>
        </w:tc>
        <w:tc>
          <w:tcPr>
            <w:tcW w:w="1199"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432</w:t>
            </w:r>
          </w:p>
        </w:tc>
        <w:tc>
          <w:tcPr>
            <w:tcW w:w="64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1 769</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FA</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207</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12%</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7%</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19%</w:t>
            </w:r>
          </w:p>
        </w:tc>
        <w:tc>
          <w:tcPr>
            <w:tcW w:w="1031"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163</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5%</w:t>
            </w:r>
          </w:p>
        </w:tc>
        <w:tc>
          <w:tcPr>
            <w:tcW w:w="1199"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169</w:t>
            </w:r>
          </w:p>
        </w:tc>
        <w:tc>
          <w:tcPr>
            <w:tcW w:w="64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223</w:t>
            </w:r>
          </w:p>
        </w:tc>
        <w:tc>
          <w:tcPr>
            <w:tcW w:w="941" w:type="dxa"/>
            <w:tcBorders>
              <w:top w:val="nil"/>
              <w:left w:val="nil"/>
              <w:bottom w:val="single" w:sz="4" w:space="0" w:color="auto"/>
              <w:right w:val="single" w:sz="8"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762</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MTF</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809</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27%</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13%</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40%</w:t>
            </w:r>
          </w:p>
        </w:tc>
        <w:tc>
          <w:tcPr>
            <w:tcW w:w="103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579</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42%</w:t>
            </w:r>
          </w:p>
        </w:tc>
        <w:tc>
          <w:tcPr>
            <w:tcW w:w="1199"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663</w:t>
            </w:r>
          </w:p>
        </w:tc>
        <w:tc>
          <w:tcPr>
            <w:tcW w:w="64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2 051</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FIIT</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501</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26%</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11%</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37%</w:t>
            </w:r>
          </w:p>
        </w:tc>
        <w:tc>
          <w:tcPr>
            <w:tcW w:w="1031"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262</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18%</w:t>
            </w:r>
          </w:p>
        </w:tc>
        <w:tc>
          <w:tcPr>
            <w:tcW w:w="1199"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199</w:t>
            </w:r>
          </w:p>
        </w:tc>
        <w:tc>
          <w:tcPr>
            <w:tcW w:w="64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962</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ÚM</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43</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40%</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5%</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45%</w:t>
            </w:r>
          </w:p>
        </w:tc>
        <w:tc>
          <w:tcPr>
            <w:tcW w:w="1031"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26</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19%</w:t>
            </w:r>
          </w:p>
        </w:tc>
        <w:tc>
          <w:tcPr>
            <w:tcW w:w="1199"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46</w:t>
            </w:r>
          </w:p>
        </w:tc>
        <w:tc>
          <w:tcPr>
            <w:tcW w:w="64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0</w:t>
            </w:r>
          </w:p>
        </w:tc>
        <w:tc>
          <w:tcPr>
            <w:tcW w:w="941" w:type="dxa"/>
            <w:tcBorders>
              <w:top w:val="nil"/>
              <w:left w:val="nil"/>
              <w:bottom w:val="single" w:sz="4" w:space="0" w:color="auto"/>
              <w:right w:val="single" w:sz="8" w:space="0" w:color="auto"/>
            </w:tcBorders>
            <w:shd w:val="clear" w:color="000000" w:fill="FFFFFF"/>
            <w:vAlign w:val="center"/>
            <w:hideMark/>
          </w:tcPr>
          <w:p w:rsidR="00B51749" w:rsidRPr="00F0732E" w:rsidRDefault="00B51749" w:rsidP="00447572">
            <w:pPr>
              <w:jc w:val="center"/>
              <w:rPr>
                <w:rFonts w:eastAsia="Times New Roman" w:cs="Arial"/>
                <w:lang w:eastAsia="sk-SK"/>
              </w:rPr>
            </w:pPr>
            <w:r w:rsidRPr="00F0732E">
              <w:rPr>
                <w:rFonts w:eastAsia="Times New Roman" w:cs="Arial"/>
                <w:sz w:val="22"/>
                <w:szCs w:val="22"/>
                <w:lang w:eastAsia="sk-SK"/>
              </w:rPr>
              <w:t>115</w:t>
            </w:r>
          </w:p>
        </w:tc>
      </w:tr>
      <w:tr w:rsidR="00B51749" w:rsidRPr="00F0732E" w:rsidTr="00447572">
        <w:trPr>
          <w:trHeight w:val="300"/>
        </w:trPr>
        <w:tc>
          <w:tcPr>
            <w:tcW w:w="907"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lang w:eastAsia="sk-SK"/>
              </w:rPr>
            </w:pPr>
            <w:r w:rsidRPr="00F0732E">
              <w:rPr>
                <w:rFonts w:eastAsia="Times New Roman" w:cs="Arial"/>
                <w:b/>
                <w:bCs/>
                <w:sz w:val="22"/>
                <w:szCs w:val="22"/>
                <w:lang w:eastAsia="sk-SK"/>
              </w:rPr>
              <w:t>STU</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4 362</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30%</w:t>
            </w:r>
          </w:p>
        </w:tc>
        <w:tc>
          <w:tcPr>
            <w:tcW w:w="6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12%</w:t>
            </w:r>
          </w:p>
        </w:tc>
        <w:tc>
          <w:tcPr>
            <w:tcW w:w="1300"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42%</w:t>
            </w:r>
          </w:p>
        </w:tc>
        <w:tc>
          <w:tcPr>
            <w:tcW w:w="103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2 836</w:t>
            </w:r>
          </w:p>
        </w:tc>
        <w:tc>
          <w:tcPr>
            <w:tcW w:w="96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27%</w:t>
            </w:r>
          </w:p>
        </w:tc>
        <w:tc>
          <w:tcPr>
            <w:tcW w:w="1199"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2 802</w:t>
            </w:r>
          </w:p>
        </w:tc>
        <w:tc>
          <w:tcPr>
            <w:tcW w:w="64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582</w:t>
            </w:r>
          </w:p>
        </w:tc>
        <w:tc>
          <w:tcPr>
            <w:tcW w:w="941" w:type="dxa"/>
            <w:tcBorders>
              <w:top w:val="nil"/>
              <w:left w:val="nil"/>
              <w:bottom w:val="single" w:sz="4" w:space="0" w:color="auto"/>
              <w:right w:val="single" w:sz="8"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10 582</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Vysvetlivky: ∑Z – celkový počet zapísaných študentov na prvom stupni štúdia</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Celkový </w:t>
      </w:r>
      <w:r w:rsidRPr="00F0732E">
        <w:rPr>
          <w:rFonts w:cs="Calibri"/>
          <w:b/>
          <w:sz w:val="28"/>
          <w:szCs w:val="28"/>
        </w:rPr>
        <w:t>počet zapísaných študentov na prvom stupni</w:t>
      </w:r>
      <w:r w:rsidRPr="00F0732E">
        <w:rPr>
          <w:rFonts w:cs="Calibri"/>
          <w:sz w:val="28"/>
          <w:szCs w:val="28"/>
        </w:rPr>
        <w:t xml:space="preserve"> </w:t>
      </w:r>
      <w:r w:rsidRPr="00F0732E">
        <w:rPr>
          <w:rFonts w:cs="Calibri"/>
          <w:b/>
          <w:sz w:val="28"/>
          <w:szCs w:val="28"/>
        </w:rPr>
        <w:t>štúdia</w:t>
      </w:r>
      <w:r w:rsidRPr="00F0732E">
        <w:rPr>
          <w:rFonts w:cs="Calibri"/>
          <w:sz w:val="28"/>
          <w:szCs w:val="28"/>
        </w:rPr>
        <w:t xml:space="preserve"> v dennej forme v akademickom roku 2013/2014 bol </w:t>
      </w:r>
      <w:r w:rsidRPr="00F0732E">
        <w:rPr>
          <w:rFonts w:cs="Calibri"/>
          <w:b/>
          <w:sz w:val="28"/>
          <w:szCs w:val="28"/>
        </w:rPr>
        <w:t>10 582 študentov</w:t>
      </w:r>
      <w:r w:rsidRPr="00F0732E">
        <w:rPr>
          <w:rFonts w:cs="Calibri"/>
          <w:sz w:val="28"/>
          <w:szCs w:val="28"/>
        </w:rPr>
        <w:t xml:space="preserve">. Z Tabuľky  3.7 je možné vidieť % úbytok študentov na prvom stupni po prvých dvoch rokoch štúdia. Je zrejmé, že prvý rok štúdia je pre študentov kritický z hľadiska ich úspešného zotrvania v štúdiu, pretože 42 % študentov v priemere za univerzitu nezvládlo prvý rok štúdia v akad. roku 2013/2014. </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Medzi </w:t>
      </w:r>
      <w:r w:rsidRPr="00F0732E">
        <w:rPr>
          <w:rFonts w:cs="Calibri"/>
          <w:b/>
          <w:sz w:val="28"/>
          <w:szCs w:val="28"/>
        </w:rPr>
        <w:t>najčastejšie príčiny úbytku</w:t>
      </w:r>
      <w:r w:rsidRPr="00F0732E">
        <w:rPr>
          <w:rFonts w:cs="Calibri"/>
          <w:sz w:val="28"/>
          <w:szCs w:val="28"/>
        </w:rPr>
        <w:t xml:space="preserve"> študentov po prvom roku štúdia patria: </w:t>
      </w:r>
      <w:r w:rsidRPr="00F0732E">
        <w:rPr>
          <w:rFonts w:cs="Calibri"/>
          <w:b/>
          <w:sz w:val="28"/>
          <w:szCs w:val="28"/>
        </w:rPr>
        <w:t>dlhodobo nedostatočná príprava na strednej škole</w:t>
      </w:r>
      <w:r w:rsidRPr="00F0732E">
        <w:rPr>
          <w:rFonts w:cs="Calibri"/>
          <w:sz w:val="28"/>
          <w:szCs w:val="28"/>
        </w:rPr>
        <w:t xml:space="preserve"> </w:t>
      </w:r>
      <w:r w:rsidRPr="00F0732E">
        <w:rPr>
          <w:rFonts w:cs="Calibri"/>
          <w:b/>
          <w:sz w:val="28"/>
          <w:szCs w:val="28"/>
        </w:rPr>
        <w:t>na štúdium technického zamerania</w:t>
      </w:r>
      <w:r w:rsidRPr="00F0732E">
        <w:rPr>
          <w:rFonts w:cs="Calibri"/>
          <w:sz w:val="28"/>
          <w:szCs w:val="28"/>
        </w:rPr>
        <w:t xml:space="preserve"> (</w:t>
      </w:r>
      <w:r w:rsidRPr="00F0732E">
        <w:rPr>
          <w:rFonts w:cs="Calibri"/>
          <w:b/>
          <w:sz w:val="28"/>
          <w:szCs w:val="28"/>
        </w:rPr>
        <w:t>znižovanie rozsahu a úrovne hlavne prírodovedných predmetov</w:t>
      </w:r>
      <w:r w:rsidRPr="00F0732E">
        <w:rPr>
          <w:rFonts w:cs="Calibri"/>
          <w:sz w:val="28"/>
          <w:szCs w:val="28"/>
        </w:rPr>
        <w:t xml:space="preserve">), zmena prostredia a systému vzdelávania na univerzite. Významnú úlohu hrá aj fakt, že </w:t>
      </w:r>
      <w:r w:rsidRPr="00F0732E">
        <w:rPr>
          <w:rFonts w:cs="Calibri"/>
          <w:b/>
          <w:sz w:val="28"/>
          <w:szCs w:val="28"/>
        </w:rPr>
        <w:t>uchádzači sú prijímaní zväčša bez prijímacej skúšky.</w:t>
      </w:r>
      <w:r w:rsidRPr="00F0732E">
        <w:rPr>
          <w:rFonts w:cs="Calibri"/>
          <w:sz w:val="28"/>
          <w:szCs w:val="28"/>
        </w:rPr>
        <w:t xml:space="preserve"> Zimný semester 1. ročníka tak predstavuje akési predĺženie prijímacieho konania, v ktorom si uchádzači overujú schopnosti a záujem o ďalšie štúdium. Úbytok študentov po druhom roku štúdia je nižší – 27 %, ale veľmi často je príčinou neúspešné ukončenie predmetov prenesených z prvého roku štúdia, čo len podčiarkuje kritickosť prvého roku štúdia na technickej univerzite.</w:t>
      </w:r>
    </w:p>
    <w:p w:rsidR="00B51749" w:rsidRPr="00F0732E" w:rsidRDefault="00B51749" w:rsidP="00B51749">
      <w:pPr>
        <w:rPr>
          <w:rFonts w:cs="Calibri"/>
          <w:sz w:val="28"/>
          <w:szCs w:val="28"/>
        </w:rPr>
      </w:pPr>
      <w:r w:rsidRPr="00F0732E">
        <w:rPr>
          <w:rFonts w:cs="Calibri"/>
          <w:sz w:val="28"/>
          <w:szCs w:val="28"/>
        </w:rPr>
        <w:t xml:space="preserve">V externej forme štúdia v ak. roku 2013/2014 bolo na prvom stupni celkovo 37 študentov a vzhľadom na to, že táto forma štúdia len dobieha, nebola predmetom hodnotenia. </w:t>
      </w:r>
    </w:p>
    <w:p w:rsidR="00B51749" w:rsidRPr="00F0732E" w:rsidRDefault="00B51749" w:rsidP="00B51749">
      <w:pPr>
        <w:rPr>
          <w:b/>
          <w:color w:val="FF0000"/>
          <w:sz w:val="28"/>
          <w:szCs w:val="28"/>
        </w:rPr>
      </w:pPr>
    </w:p>
    <w:p w:rsidR="00B51749" w:rsidRPr="00F0732E" w:rsidRDefault="00B51749" w:rsidP="00B51749">
      <w:pPr>
        <w:rPr>
          <w:b/>
          <w:color w:val="FF0000"/>
          <w:sz w:val="28"/>
          <w:szCs w:val="28"/>
        </w:rPr>
      </w:pPr>
    </w:p>
    <w:p w:rsidR="00B51749" w:rsidRPr="00F0732E" w:rsidRDefault="00B51749" w:rsidP="00B51749">
      <w:pPr>
        <w:pStyle w:val="Nadpis3"/>
        <w:rPr>
          <w:rFonts w:ascii="Cambria" w:hAnsi="Cambria"/>
          <w:color w:val="auto"/>
          <w:sz w:val="28"/>
          <w:szCs w:val="28"/>
        </w:rPr>
      </w:pPr>
      <w:bookmarkStart w:id="8" w:name="_Toc413009311"/>
      <w:r w:rsidRPr="00F0732E">
        <w:rPr>
          <w:rFonts w:ascii="Cambria" w:hAnsi="Cambria"/>
          <w:color w:val="auto"/>
          <w:sz w:val="28"/>
          <w:szCs w:val="28"/>
        </w:rPr>
        <w:t>Druhý stupeň štúdia - počet a úbytok študentov</w:t>
      </w:r>
      <w:bookmarkEnd w:id="8"/>
    </w:p>
    <w:p w:rsidR="00B51749" w:rsidRPr="00F0732E" w:rsidRDefault="00B51749" w:rsidP="00B51749">
      <w:pPr>
        <w:rPr>
          <w:color w:val="FF0000"/>
          <w:sz w:val="28"/>
          <w:szCs w:val="28"/>
          <w:lang w:eastAsia="cs-CZ"/>
        </w:rPr>
      </w:pPr>
    </w:p>
    <w:p w:rsidR="00B51749" w:rsidRPr="00F0732E" w:rsidRDefault="00B51749" w:rsidP="00B51749">
      <w:pPr>
        <w:rPr>
          <w:rFonts w:cs="Calibri"/>
          <w:b/>
          <w:sz w:val="28"/>
          <w:szCs w:val="28"/>
        </w:rPr>
      </w:pPr>
      <w:r w:rsidRPr="00F0732E">
        <w:rPr>
          <w:rFonts w:cs="Calibri"/>
          <w:b/>
          <w:sz w:val="28"/>
          <w:szCs w:val="28"/>
        </w:rPr>
        <w:t>Tabuľka 3.8: Počet a úbytok študentov druhého stupňa štúdia v dennej forme v akad. roku 2013/2014</w:t>
      </w:r>
    </w:p>
    <w:tbl>
      <w:tblPr>
        <w:tblW w:w="7245" w:type="dxa"/>
        <w:tblInd w:w="55" w:type="dxa"/>
        <w:tblCellMar>
          <w:left w:w="70" w:type="dxa"/>
          <w:right w:w="70" w:type="dxa"/>
        </w:tblCellMar>
        <w:tblLook w:val="04A0" w:firstRow="1" w:lastRow="0" w:firstColumn="1" w:lastColumn="0" w:noHBand="0" w:noVBand="1"/>
      </w:tblPr>
      <w:tblGrid>
        <w:gridCol w:w="1116"/>
        <w:gridCol w:w="1215"/>
        <w:gridCol w:w="1319"/>
        <w:gridCol w:w="1215"/>
        <w:gridCol w:w="1376"/>
        <w:gridCol w:w="1004"/>
      </w:tblGrid>
      <w:tr w:rsidR="00B51749" w:rsidRPr="00F0732E" w:rsidTr="00447572">
        <w:trPr>
          <w:trHeight w:val="375"/>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 </w:t>
            </w:r>
          </w:p>
        </w:tc>
        <w:tc>
          <w:tcPr>
            <w:tcW w:w="2534" w:type="dxa"/>
            <w:gridSpan w:val="2"/>
            <w:tcBorders>
              <w:top w:val="single" w:sz="4" w:space="0" w:color="auto"/>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ročník</w:t>
            </w:r>
          </w:p>
        </w:tc>
        <w:tc>
          <w:tcPr>
            <w:tcW w:w="2591" w:type="dxa"/>
            <w:gridSpan w:val="2"/>
            <w:tcBorders>
              <w:top w:val="single" w:sz="4" w:space="0" w:color="auto"/>
              <w:left w:val="nil"/>
              <w:bottom w:val="single" w:sz="4" w:space="0" w:color="auto"/>
              <w:right w:val="single" w:sz="4" w:space="0" w:color="000000"/>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ročník</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r w:rsidRPr="00F0732E">
              <w:rPr>
                <w:rFonts w:eastAsia="Times New Roman" w:cs="Arial"/>
                <w:b/>
                <w:bCs/>
                <w:sz w:val="28"/>
                <w:szCs w:val="28"/>
                <w:vertAlign w:val="subscript"/>
                <w:lang w:eastAsia="sk-SK"/>
              </w:rPr>
              <w:t>Z</w:t>
            </w:r>
          </w:p>
        </w:tc>
      </w:tr>
      <w:tr w:rsidR="00B51749" w:rsidRPr="00F0732E" w:rsidTr="00447572">
        <w:trPr>
          <w:trHeight w:val="555"/>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Fakulta</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zapísaní </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z toho úbytok po 1. roč. </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zapísaní </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z toho úbytok po 2. roč.</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543</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610</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1 153</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206</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299</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505</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304</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333</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637</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196</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152</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348</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192</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198</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390</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486</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563</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1 049</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140</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147</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287</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w:t>
            </w:r>
          </w:p>
        </w:tc>
        <w:tc>
          <w:tcPr>
            <w:tcW w:w="121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1004"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50</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2 090</w:t>
            </w:r>
          </w:p>
        </w:tc>
        <w:tc>
          <w:tcPr>
            <w:tcW w:w="1319"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w:t>
            </w:r>
          </w:p>
        </w:tc>
        <w:tc>
          <w:tcPr>
            <w:tcW w:w="121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2 329</w:t>
            </w:r>
          </w:p>
        </w:tc>
        <w:tc>
          <w:tcPr>
            <w:tcW w:w="1376" w:type="dxa"/>
            <w:tcBorders>
              <w:top w:val="nil"/>
              <w:left w:val="nil"/>
              <w:bottom w:val="single" w:sz="4" w:space="0" w:color="auto"/>
              <w:right w:val="single" w:sz="4" w:space="0" w:color="auto"/>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w:t>
            </w:r>
          </w:p>
        </w:tc>
        <w:tc>
          <w:tcPr>
            <w:tcW w:w="100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4 419</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Vysvetlivky: ∑</w:t>
      </w:r>
      <w:r w:rsidRPr="00F0732E">
        <w:rPr>
          <w:rFonts w:eastAsia="Times New Roman" w:cs="Arial"/>
          <w:sz w:val="28"/>
          <w:szCs w:val="28"/>
          <w:vertAlign w:val="subscript"/>
          <w:lang w:eastAsia="sk-SK"/>
        </w:rPr>
        <w:t xml:space="preserve">Z </w:t>
      </w:r>
      <w:r w:rsidRPr="00F0732E">
        <w:rPr>
          <w:rFonts w:eastAsia="Times New Roman" w:cs="Arial"/>
          <w:sz w:val="28"/>
          <w:szCs w:val="28"/>
          <w:lang w:eastAsia="sk-SK"/>
        </w:rPr>
        <w:t xml:space="preserve"> – celkový počet zapísaných študentov na druhom stupni štúdia</w:t>
      </w:r>
    </w:p>
    <w:p w:rsidR="00B51749" w:rsidRPr="00F0732E" w:rsidRDefault="00B51749" w:rsidP="00B51749">
      <w:pPr>
        <w:rPr>
          <w:rFonts w:eastAsia="Times New Roman" w:cs="Arial"/>
          <w:sz w:val="28"/>
          <w:szCs w:val="28"/>
          <w:lang w:eastAsia="sk-SK"/>
        </w:rPr>
      </w:pPr>
    </w:p>
    <w:p w:rsidR="00B51749" w:rsidRPr="00F0732E" w:rsidRDefault="00B51749" w:rsidP="00B51749">
      <w:pPr>
        <w:rPr>
          <w:rFonts w:eastAsia="Times New Roman" w:cs="Arial"/>
          <w:sz w:val="28"/>
          <w:szCs w:val="28"/>
          <w:lang w:eastAsia="sk-SK"/>
        </w:rPr>
      </w:pPr>
      <w:r w:rsidRPr="00F0732E">
        <w:rPr>
          <w:rFonts w:cs="Calibri"/>
          <w:sz w:val="28"/>
          <w:szCs w:val="28"/>
        </w:rPr>
        <w:t xml:space="preserve">Celkový </w:t>
      </w:r>
      <w:r w:rsidRPr="00F0732E">
        <w:rPr>
          <w:rFonts w:cs="Calibri"/>
          <w:b/>
          <w:sz w:val="28"/>
          <w:szCs w:val="28"/>
        </w:rPr>
        <w:t>počet zapísaných študentov na druhom stupni štúdia</w:t>
      </w:r>
      <w:r w:rsidRPr="00F0732E">
        <w:rPr>
          <w:rFonts w:cs="Calibri"/>
          <w:sz w:val="28"/>
          <w:szCs w:val="28"/>
        </w:rPr>
        <w:t xml:space="preserve"> v dennej forme v akademickom roku 2013/2014 bol </w:t>
      </w:r>
      <w:r w:rsidRPr="00F0732E">
        <w:rPr>
          <w:rFonts w:cs="Calibri"/>
          <w:b/>
          <w:sz w:val="28"/>
          <w:szCs w:val="28"/>
        </w:rPr>
        <w:t>4 419 študentov</w:t>
      </w:r>
      <w:r w:rsidRPr="00F0732E">
        <w:rPr>
          <w:rFonts w:cs="Calibri"/>
          <w:sz w:val="28"/>
          <w:szCs w:val="28"/>
        </w:rPr>
        <w:t xml:space="preserve">. Z Tabuľky </w:t>
      </w:r>
      <w:r w:rsidR="0067123B">
        <w:rPr>
          <w:rFonts w:cs="Calibri"/>
          <w:sz w:val="28"/>
          <w:szCs w:val="28"/>
        </w:rPr>
        <w:t>3.</w:t>
      </w:r>
      <w:r w:rsidRPr="00F0732E">
        <w:rPr>
          <w:rFonts w:cs="Calibri"/>
          <w:sz w:val="28"/>
          <w:szCs w:val="28"/>
        </w:rPr>
        <w:t xml:space="preserve">8 je vidieť, že úbytok študentov nie je veľmi výrazný. Dôvody úbytku sú hlavne v osobnej rovine študentov (napr. nájdenie si zamestnania). Ďalším </w:t>
      </w:r>
      <w:r w:rsidRPr="00F0732E">
        <w:rPr>
          <w:rFonts w:cs="Calibri"/>
          <w:sz w:val="28"/>
          <w:szCs w:val="28"/>
        </w:rPr>
        <w:lastRenderedPageBreak/>
        <w:t>faktom je, že vzťah k štúdiu a motivácia ukončiť štúdium je u študentov druhého. stupňa vyššia ako u študentov prvého stupňa štúdia.</w:t>
      </w:r>
    </w:p>
    <w:p w:rsidR="00B51749" w:rsidRPr="00F0732E" w:rsidRDefault="00B51749" w:rsidP="00B51749">
      <w:pPr>
        <w:rPr>
          <w:rFonts w:cs="Calibri"/>
          <w:sz w:val="28"/>
          <w:szCs w:val="28"/>
        </w:rPr>
      </w:pPr>
      <w:r w:rsidRPr="00F0732E">
        <w:rPr>
          <w:rFonts w:cs="Calibri"/>
          <w:sz w:val="28"/>
          <w:szCs w:val="28"/>
        </w:rPr>
        <w:t xml:space="preserve">Externá forma štúdia nebola v ak. roku 2013/2014 na druhom stupni otvorená. </w:t>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3"/>
        <w:rPr>
          <w:rFonts w:ascii="Cambria" w:hAnsi="Cambria"/>
          <w:color w:val="auto"/>
          <w:sz w:val="28"/>
          <w:szCs w:val="28"/>
        </w:rPr>
      </w:pPr>
      <w:bookmarkStart w:id="9" w:name="_Toc413009312"/>
      <w:r w:rsidRPr="00F0732E">
        <w:rPr>
          <w:rFonts w:ascii="Cambria" w:hAnsi="Cambria"/>
          <w:color w:val="auto"/>
          <w:sz w:val="28"/>
          <w:szCs w:val="28"/>
        </w:rPr>
        <w:t>Tretí stupeň štúdia – počet a úbytok študentov</w:t>
      </w:r>
      <w:bookmarkEnd w:id="9"/>
    </w:p>
    <w:p w:rsidR="00B51749" w:rsidRPr="00F0732E" w:rsidRDefault="00B51749" w:rsidP="00B51749">
      <w:pPr>
        <w:rPr>
          <w:b/>
          <w:color w:val="FF0000"/>
          <w:sz w:val="28"/>
          <w:szCs w:val="28"/>
        </w:rPr>
      </w:pPr>
    </w:p>
    <w:p w:rsidR="00B51749" w:rsidRPr="00F0732E" w:rsidRDefault="00B51749" w:rsidP="00B51749">
      <w:pPr>
        <w:rPr>
          <w:rFonts w:cs="Calibri"/>
          <w:b/>
          <w:sz w:val="28"/>
          <w:szCs w:val="28"/>
        </w:rPr>
      </w:pPr>
      <w:r w:rsidRPr="00F0732E">
        <w:rPr>
          <w:rFonts w:cs="Calibri"/>
          <w:b/>
          <w:sz w:val="28"/>
          <w:szCs w:val="28"/>
        </w:rPr>
        <w:t>Tabuľka 3.9: Počet a úbytok študentov tretieho stupňa štúdia v dennej forme v akad. roku 2013/2014</w:t>
      </w:r>
    </w:p>
    <w:tbl>
      <w:tblPr>
        <w:tblW w:w="7669" w:type="dxa"/>
        <w:tblInd w:w="55" w:type="dxa"/>
        <w:tblCellMar>
          <w:left w:w="70" w:type="dxa"/>
          <w:right w:w="70" w:type="dxa"/>
        </w:tblCellMar>
        <w:tblLook w:val="04A0" w:firstRow="1" w:lastRow="0" w:firstColumn="1" w:lastColumn="0" w:noHBand="0" w:noVBand="1"/>
      </w:tblPr>
      <w:tblGrid>
        <w:gridCol w:w="1116"/>
        <w:gridCol w:w="1052"/>
        <w:gridCol w:w="800"/>
        <w:gridCol w:w="1016"/>
        <w:gridCol w:w="839"/>
        <w:gridCol w:w="992"/>
        <w:gridCol w:w="983"/>
        <w:gridCol w:w="871"/>
      </w:tblGrid>
      <w:tr w:rsidR="00B51749" w:rsidRPr="00F0732E" w:rsidTr="00447572">
        <w:trPr>
          <w:trHeight w:val="2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Fakulta</w:t>
            </w:r>
          </w:p>
        </w:tc>
        <w:tc>
          <w:tcPr>
            <w:tcW w:w="2868" w:type="dxa"/>
            <w:gridSpan w:val="3"/>
            <w:tcBorders>
              <w:top w:val="single" w:sz="4" w:space="0" w:color="auto"/>
              <w:left w:val="nil"/>
              <w:bottom w:val="single" w:sz="4" w:space="0" w:color="auto"/>
              <w:right w:val="nil"/>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Zapísaní študenti</w:t>
            </w:r>
          </w:p>
        </w:tc>
        <w:tc>
          <w:tcPr>
            <w:tcW w:w="368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Úbytok študentov (v absol. číslach)</w:t>
            </w:r>
          </w:p>
        </w:tc>
      </w:tr>
      <w:tr w:rsidR="00B51749" w:rsidRPr="00F0732E" w:rsidTr="00447572">
        <w:trPr>
          <w:trHeight w:val="328"/>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05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na fakulte</w:t>
            </w:r>
          </w:p>
        </w:tc>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na EVI</w:t>
            </w:r>
          </w:p>
        </w:tc>
        <w:tc>
          <w:tcPr>
            <w:tcW w:w="1016" w:type="dxa"/>
            <w:vMerge w:val="restart"/>
            <w:tcBorders>
              <w:top w:val="nil"/>
              <w:left w:val="nil"/>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∑z</w:t>
            </w:r>
          </w:p>
        </w:tc>
        <w:tc>
          <w:tcPr>
            <w:tcW w:w="8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po 1. r.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2. r.</w:t>
            </w:r>
          </w:p>
        </w:tc>
        <w:tc>
          <w:tcPr>
            <w:tcW w:w="9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3.r.</w:t>
            </w:r>
          </w:p>
        </w:tc>
        <w:tc>
          <w:tcPr>
            <w:tcW w:w="8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4.r.</w:t>
            </w:r>
          </w:p>
        </w:tc>
      </w:tr>
      <w:tr w:rsidR="00B51749" w:rsidRPr="00F0732E" w:rsidTr="00447572">
        <w:trPr>
          <w:trHeight w:val="328"/>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052"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800"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016" w:type="dxa"/>
            <w:vMerge/>
            <w:tcBorders>
              <w:top w:val="nil"/>
              <w:left w:val="nil"/>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839"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992"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983"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871"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000000" w:fill="FFFFFF"/>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234</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7</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241</w:t>
            </w:r>
          </w:p>
        </w:tc>
        <w:tc>
          <w:tcPr>
            <w:tcW w:w="839"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9</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78</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0</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78</w:t>
            </w:r>
          </w:p>
        </w:tc>
        <w:tc>
          <w:tcPr>
            <w:tcW w:w="839"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6</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150</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17</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167</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11</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186</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45</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231</w:t>
            </w:r>
          </w:p>
        </w:tc>
        <w:tc>
          <w:tcPr>
            <w:tcW w:w="839"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85</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0</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85</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84</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5</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89</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44</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5</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49</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14</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3</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17</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center"/>
              <w:rPr>
                <w:rFonts w:eastAsia="Times New Roman" w:cs="Arial"/>
                <w:sz w:val="28"/>
                <w:szCs w:val="28"/>
                <w:lang w:eastAsia="sk-SK"/>
              </w:rPr>
            </w:pPr>
          </w:p>
        </w:tc>
      </w:tr>
      <w:tr w:rsidR="00B51749" w:rsidRPr="00F0732E" w:rsidTr="00447572">
        <w:trPr>
          <w:trHeight w:val="255"/>
        </w:trPr>
        <w:tc>
          <w:tcPr>
            <w:tcW w:w="1116"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052"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875</w:t>
            </w:r>
          </w:p>
        </w:tc>
        <w:tc>
          <w:tcPr>
            <w:tcW w:w="800" w:type="dxa"/>
            <w:tcBorders>
              <w:top w:val="nil"/>
              <w:left w:val="nil"/>
              <w:bottom w:val="single" w:sz="4" w:space="0" w:color="auto"/>
              <w:right w:val="single" w:sz="4" w:space="0" w:color="auto"/>
            </w:tcBorders>
            <w:shd w:val="clear" w:color="000000" w:fill="FFFFFF"/>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82</w:t>
            </w:r>
          </w:p>
        </w:tc>
        <w:tc>
          <w:tcPr>
            <w:tcW w:w="101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957</w:t>
            </w:r>
          </w:p>
        </w:tc>
        <w:tc>
          <w:tcPr>
            <w:tcW w:w="839" w:type="dxa"/>
            <w:tcBorders>
              <w:top w:val="nil"/>
              <w:left w:val="nil"/>
              <w:bottom w:val="single" w:sz="4" w:space="0" w:color="auto"/>
              <w:right w:val="single" w:sz="4" w:space="0" w:color="auto"/>
            </w:tcBorders>
            <w:shd w:val="clear" w:color="auto" w:fill="auto"/>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19</w:t>
            </w:r>
          </w:p>
        </w:tc>
        <w:tc>
          <w:tcPr>
            <w:tcW w:w="99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18</w:t>
            </w:r>
          </w:p>
        </w:tc>
        <w:tc>
          <w:tcPr>
            <w:tcW w:w="9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40</w:t>
            </w:r>
          </w:p>
        </w:tc>
        <w:tc>
          <w:tcPr>
            <w:tcW w:w="87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11</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Vysvetlivky: ∑Z – celkový počet zapísaných študentov (na fakulte + na EVI) Stav k 31. 10. 2013</w:t>
      </w:r>
    </w:p>
    <w:p w:rsidR="00B51749" w:rsidRPr="00F0732E" w:rsidRDefault="00B51749" w:rsidP="00B51749">
      <w:pPr>
        <w:rPr>
          <w:rFonts w:eastAsia="Calibri" w:cs="Calibri"/>
          <w:sz w:val="28"/>
          <w:szCs w:val="28"/>
        </w:rPr>
      </w:pPr>
    </w:p>
    <w:p w:rsidR="00B51749" w:rsidRPr="00F0732E" w:rsidRDefault="00B51749" w:rsidP="00B51749">
      <w:pPr>
        <w:rPr>
          <w:rFonts w:cs="Calibri"/>
          <w:b/>
          <w:sz w:val="28"/>
          <w:szCs w:val="28"/>
        </w:rPr>
      </w:pPr>
      <w:r w:rsidRPr="00F0732E">
        <w:rPr>
          <w:rFonts w:cs="Calibri"/>
          <w:b/>
          <w:sz w:val="28"/>
          <w:szCs w:val="28"/>
        </w:rPr>
        <w:t>Tabuľka 3.10: Počet a úbytok študentov tretieho stupňa štúdia v externej forme v akad. roku 2013/2014</w:t>
      </w:r>
    </w:p>
    <w:tbl>
      <w:tblPr>
        <w:tblW w:w="7992" w:type="dxa"/>
        <w:tblInd w:w="55" w:type="dxa"/>
        <w:tblCellMar>
          <w:left w:w="70" w:type="dxa"/>
          <w:right w:w="70" w:type="dxa"/>
        </w:tblCellMar>
        <w:tblLook w:val="04A0" w:firstRow="1" w:lastRow="0" w:firstColumn="1" w:lastColumn="0" w:noHBand="0" w:noVBand="1"/>
      </w:tblPr>
      <w:tblGrid>
        <w:gridCol w:w="1116"/>
        <w:gridCol w:w="1052"/>
        <w:gridCol w:w="660"/>
        <w:gridCol w:w="978"/>
        <w:gridCol w:w="565"/>
        <w:gridCol w:w="905"/>
        <w:gridCol w:w="905"/>
        <w:gridCol w:w="905"/>
        <w:gridCol w:w="906"/>
      </w:tblGrid>
      <w:tr w:rsidR="00B51749" w:rsidRPr="00F0732E" w:rsidTr="0000089C">
        <w:trPr>
          <w:trHeight w:val="255"/>
        </w:trPr>
        <w:tc>
          <w:tcPr>
            <w:tcW w:w="1116" w:type="dxa"/>
            <w:vMerge w:val="restart"/>
            <w:tcBorders>
              <w:top w:val="single" w:sz="4" w:space="0" w:color="auto"/>
              <w:left w:val="single" w:sz="4" w:space="0" w:color="auto"/>
              <w:right w:val="single" w:sz="4" w:space="0" w:color="auto"/>
            </w:tcBorders>
            <w:shd w:val="clear" w:color="000000" w:fill="FFFFF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Fakulta</w:t>
            </w:r>
          </w:p>
        </w:tc>
        <w:tc>
          <w:tcPr>
            <w:tcW w:w="2690" w:type="dxa"/>
            <w:gridSpan w:val="3"/>
            <w:tcBorders>
              <w:top w:val="single" w:sz="4" w:space="0" w:color="auto"/>
              <w:left w:val="nil"/>
              <w:bottom w:val="single" w:sz="4" w:space="0" w:color="auto"/>
              <w:right w:val="single" w:sz="4" w:space="0" w:color="000000"/>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Zapísaní študenti</w:t>
            </w:r>
          </w:p>
        </w:tc>
        <w:tc>
          <w:tcPr>
            <w:tcW w:w="418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Úbytok študentov (v absol. číslach)</w:t>
            </w:r>
          </w:p>
        </w:tc>
      </w:tr>
      <w:tr w:rsidR="00B51749" w:rsidRPr="00F0732E" w:rsidTr="0000089C">
        <w:trPr>
          <w:trHeight w:val="615"/>
        </w:trPr>
        <w:tc>
          <w:tcPr>
            <w:tcW w:w="1116" w:type="dxa"/>
            <w:vMerge/>
            <w:tcBorders>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p>
        </w:tc>
        <w:tc>
          <w:tcPr>
            <w:tcW w:w="1052" w:type="dxa"/>
            <w:tcBorders>
              <w:top w:val="nil"/>
              <w:left w:val="single" w:sz="4" w:space="0" w:color="auto"/>
              <w:bottom w:val="single" w:sz="4" w:space="0" w:color="000000"/>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na fakulte</w:t>
            </w:r>
          </w:p>
        </w:tc>
        <w:tc>
          <w:tcPr>
            <w:tcW w:w="660" w:type="dxa"/>
            <w:tcBorders>
              <w:top w:val="nil"/>
              <w:left w:val="single" w:sz="4" w:space="0" w:color="auto"/>
              <w:bottom w:val="single" w:sz="4" w:space="0" w:color="000000"/>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na EVI</w:t>
            </w:r>
          </w:p>
        </w:tc>
        <w:tc>
          <w:tcPr>
            <w:tcW w:w="978" w:type="dxa"/>
            <w:tcBorders>
              <w:top w:val="nil"/>
              <w:left w:val="single" w:sz="4" w:space="0" w:color="auto"/>
              <w:bottom w:val="single" w:sz="4" w:space="0" w:color="000000"/>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r w:rsidRPr="00F0732E">
              <w:rPr>
                <w:rFonts w:eastAsia="Times New Roman" w:cs="Arial"/>
                <w:b/>
                <w:bCs/>
                <w:sz w:val="28"/>
                <w:szCs w:val="28"/>
                <w:vertAlign w:val="subscript"/>
                <w:lang w:eastAsia="sk-SK"/>
              </w:rPr>
              <w:t>Z</w:t>
            </w:r>
          </w:p>
        </w:tc>
        <w:tc>
          <w:tcPr>
            <w:tcW w:w="565"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1.r.</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2.r.</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3.r.</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4.r.</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 5.r.</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48</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49</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51</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56</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115</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117</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7</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8</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17</w:t>
            </w:r>
          </w:p>
        </w:tc>
      </w:tr>
      <w:tr w:rsidR="00B51749" w:rsidRPr="00F0732E" w:rsidTr="0000089C">
        <w:trPr>
          <w:trHeight w:val="28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34</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37</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36</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36</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63</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63</w:t>
            </w:r>
          </w:p>
        </w:tc>
        <w:tc>
          <w:tcPr>
            <w:tcW w:w="56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0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6</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8</w:t>
            </w:r>
          </w:p>
        </w:tc>
        <w:tc>
          <w:tcPr>
            <w:tcW w:w="56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w:t>
            </w:r>
          </w:p>
        </w:tc>
        <w:tc>
          <w:tcPr>
            <w:tcW w:w="905"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6" w:type="dxa"/>
            <w:tcBorders>
              <w:top w:val="nil"/>
              <w:left w:val="nil"/>
              <w:bottom w:val="single" w:sz="4" w:space="0" w:color="auto"/>
              <w:right w:val="single" w:sz="4" w:space="0" w:color="auto"/>
            </w:tcBorders>
            <w:shd w:val="clear" w:color="000000" w:fill="FFFFFF"/>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40</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41</w:t>
            </w:r>
          </w:p>
        </w:tc>
        <w:tc>
          <w:tcPr>
            <w:tcW w:w="56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w:t>
            </w:r>
          </w:p>
        </w:tc>
        <w:tc>
          <w:tcPr>
            <w:tcW w:w="90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00089C">
        <w:trPr>
          <w:trHeight w:val="3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052"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393</w:t>
            </w:r>
          </w:p>
        </w:tc>
        <w:tc>
          <w:tcPr>
            <w:tcW w:w="6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00089C">
            <w:pPr>
              <w:rPr>
                <w:rFonts w:eastAsia="Times New Roman" w:cs="Arial"/>
                <w:sz w:val="28"/>
                <w:szCs w:val="28"/>
                <w:lang w:eastAsia="sk-SK"/>
              </w:rPr>
            </w:pPr>
            <w:r w:rsidRPr="00F0732E">
              <w:rPr>
                <w:rFonts w:eastAsia="Times New Roman" w:cs="Arial"/>
                <w:sz w:val="28"/>
                <w:szCs w:val="28"/>
                <w:lang w:eastAsia="sk-SK"/>
              </w:rPr>
              <w:t>14</w:t>
            </w:r>
          </w:p>
        </w:tc>
        <w:tc>
          <w:tcPr>
            <w:tcW w:w="97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407</w:t>
            </w:r>
          </w:p>
        </w:tc>
        <w:tc>
          <w:tcPr>
            <w:tcW w:w="56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7</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10</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17</w:t>
            </w:r>
          </w:p>
        </w:tc>
        <w:tc>
          <w:tcPr>
            <w:tcW w:w="905"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15</w:t>
            </w:r>
          </w:p>
        </w:tc>
        <w:tc>
          <w:tcPr>
            <w:tcW w:w="90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26</w:t>
            </w:r>
          </w:p>
        </w:tc>
      </w:tr>
    </w:tbl>
    <w:p w:rsidR="00B51749" w:rsidRPr="00F0732E" w:rsidRDefault="00B51749" w:rsidP="00B51749">
      <w:pPr>
        <w:tabs>
          <w:tab w:val="left" w:pos="3722"/>
        </w:tabs>
        <w:rPr>
          <w:rFonts w:eastAsia="Times New Roman" w:cs="Arial"/>
          <w:sz w:val="28"/>
          <w:szCs w:val="28"/>
          <w:lang w:eastAsia="sk-SK"/>
        </w:rPr>
      </w:pPr>
      <w:r w:rsidRPr="00F0732E">
        <w:rPr>
          <w:rFonts w:eastAsia="Times New Roman" w:cs="Arial"/>
          <w:sz w:val="28"/>
          <w:szCs w:val="28"/>
          <w:lang w:eastAsia="sk-SK"/>
        </w:rPr>
        <w:lastRenderedPageBreak/>
        <w:t>Vysvetlivky: ∑Z – celkový počet zapísaných študentov (na fakulte + na EVI) Stav k 31. 10. 2013</w:t>
      </w:r>
    </w:p>
    <w:p w:rsidR="00B51749" w:rsidRPr="00F0732E" w:rsidRDefault="00B51749" w:rsidP="00B51749">
      <w:pPr>
        <w:tabs>
          <w:tab w:val="left" w:pos="3722"/>
        </w:tabs>
        <w:rPr>
          <w:rFonts w:eastAsia="Calibri" w:cs="Calibri"/>
          <w:sz w:val="28"/>
          <w:szCs w:val="28"/>
        </w:rPr>
      </w:pPr>
    </w:p>
    <w:p w:rsidR="00B51749" w:rsidRPr="00F0732E" w:rsidRDefault="00B51749" w:rsidP="00B51749">
      <w:pPr>
        <w:rPr>
          <w:rFonts w:cs="Calibri"/>
          <w:sz w:val="28"/>
          <w:szCs w:val="28"/>
        </w:rPr>
      </w:pPr>
      <w:r w:rsidRPr="00F0732E">
        <w:rPr>
          <w:rFonts w:cs="Calibri"/>
          <w:sz w:val="28"/>
          <w:szCs w:val="28"/>
        </w:rPr>
        <w:t xml:space="preserve">Celkový </w:t>
      </w:r>
      <w:r w:rsidRPr="00F0732E">
        <w:rPr>
          <w:rFonts w:cs="Calibri"/>
          <w:b/>
          <w:sz w:val="28"/>
          <w:szCs w:val="28"/>
        </w:rPr>
        <w:t>počet zapísaných študentov na treťom stupni štúdia</w:t>
      </w:r>
      <w:r w:rsidRPr="00F0732E">
        <w:rPr>
          <w:rFonts w:cs="Calibri"/>
          <w:sz w:val="28"/>
          <w:szCs w:val="28"/>
        </w:rPr>
        <w:t xml:space="preserve"> v dennej forme a externej forme v akademickom roku 2013/2014 bol </w:t>
      </w:r>
      <w:r w:rsidRPr="00F0732E">
        <w:rPr>
          <w:rFonts w:cs="Calibri"/>
          <w:b/>
          <w:sz w:val="28"/>
          <w:szCs w:val="28"/>
        </w:rPr>
        <w:t xml:space="preserve">1 364 študentov </w:t>
      </w:r>
      <w:r w:rsidRPr="00F0732E">
        <w:rPr>
          <w:rFonts w:cs="Calibri"/>
          <w:sz w:val="28"/>
          <w:szCs w:val="28"/>
        </w:rPr>
        <w:t xml:space="preserve">(spolu STU a EVI). Úbytky študentov počas štúdia sú minimálne a v tabuľkách </w:t>
      </w:r>
      <w:r w:rsidRPr="00F0732E">
        <w:rPr>
          <w:rFonts w:cs="Calibri"/>
          <w:b/>
          <w:sz w:val="28"/>
          <w:szCs w:val="28"/>
        </w:rPr>
        <w:t>nie sú uvedené v %</w:t>
      </w:r>
      <w:r w:rsidR="006233A4">
        <w:rPr>
          <w:rFonts w:cs="Calibri"/>
          <w:b/>
          <w:sz w:val="28"/>
          <w:szCs w:val="28"/>
        </w:rPr>
        <w:t>,</w:t>
      </w:r>
      <w:r w:rsidRPr="00F0732E">
        <w:rPr>
          <w:rFonts w:cs="Calibri"/>
          <w:b/>
          <w:sz w:val="28"/>
          <w:szCs w:val="28"/>
        </w:rPr>
        <w:t xml:space="preserve"> ale v počtoch</w:t>
      </w:r>
      <w:r w:rsidRPr="00F0732E">
        <w:rPr>
          <w:rFonts w:cs="Calibri"/>
          <w:sz w:val="28"/>
          <w:szCs w:val="28"/>
        </w:rPr>
        <w:t xml:space="preserve">. V dennej forme štúdia študenti už často počas svojho štúdia realizujú študijné pobyty v zahraničí, kde dostávajú ponuky na predĺženie pobytu, čo využívajú a predlžujú si prerušené štúdiá, resp. menia formu štúdia na externú. Z celkového počtu denných doktorandov až 17 % prekročilo štandardnú dĺžku štúdia a 3 % prestúpili z dennej na externú formu štúdia. </w:t>
      </w:r>
    </w:p>
    <w:p w:rsidR="00B51749" w:rsidRPr="00F0732E" w:rsidRDefault="00B51749" w:rsidP="00B51749">
      <w:pPr>
        <w:rPr>
          <w:color w:val="FF0000"/>
          <w:sz w:val="28"/>
          <w:szCs w:val="28"/>
        </w:rPr>
      </w:pPr>
      <w:r w:rsidRPr="00F0732E">
        <w:rPr>
          <w:color w:val="FF0000"/>
          <w:sz w:val="28"/>
          <w:szCs w:val="28"/>
        </w:rPr>
        <w:t xml:space="preserve"> </w:t>
      </w: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10" w:name="_Toc413009313"/>
      <w:r w:rsidRPr="00F0732E">
        <w:rPr>
          <w:rFonts w:ascii="Cambria" w:hAnsi="Cambria"/>
          <w:color w:val="auto"/>
        </w:rPr>
        <w:t>Štruktúra študentov z hľadiska krajov SR a zahraniční študenti</w:t>
      </w:r>
      <w:bookmarkEnd w:id="10"/>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rPr>
      </w:pPr>
      <w:r w:rsidRPr="00F0732E">
        <w:rPr>
          <w:rFonts w:cs="Calibri"/>
          <w:sz w:val="28"/>
          <w:szCs w:val="28"/>
        </w:rPr>
        <w:t>Prehľad štruktúry študentov z hľadiska krajov Slovenska a zahraničia za posledných 5 rokov je znázornená v Tabuľke 3.11.</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3.11: Štruktúra študentov z hľadiska kraja v % k 31 10. daného akademického roka</w:t>
      </w:r>
    </w:p>
    <w:tbl>
      <w:tblPr>
        <w:tblW w:w="9151" w:type="dxa"/>
        <w:tblInd w:w="55" w:type="dxa"/>
        <w:tblLayout w:type="fixed"/>
        <w:tblCellMar>
          <w:left w:w="70" w:type="dxa"/>
          <w:right w:w="70" w:type="dxa"/>
        </w:tblCellMar>
        <w:tblLook w:val="04A0" w:firstRow="1" w:lastRow="0" w:firstColumn="1" w:lastColumn="0" w:noHBand="0" w:noVBand="1"/>
      </w:tblPr>
      <w:tblGrid>
        <w:gridCol w:w="2283"/>
        <w:gridCol w:w="1108"/>
        <w:gridCol w:w="1440"/>
        <w:gridCol w:w="1440"/>
        <w:gridCol w:w="1440"/>
        <w:gridCol w:w="1440"/>
      </w:tblGrid>
      <w:tr w:rsidR="00B51749" w:rsidRPr="00F0732E" w:rsidTr="009747F5">
        <w:trPr>
          <w:trHeight w:val="270"/>
        </w:trPr>
        <w:tc>
          <w:tcPr>
            <w:tcW w:w="2283" w:type="dxa"/>
            <w:tcBorders>
              <w:top w:val="single" w:sz="8" w:space="0" w:color="auto"/>
              <w:left w:val="single" w:sz="8" w:space="0" w:color="auto"/>
              <w:bottom w:val="single" w:sz="8" w:space="0" w:color="auto"/>
              <w:right w:val="single" w:sz="8" w:space="0" w:color="auto"/>
            </w:tcBorders>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miesto bydliska</w:t>
            </w:r>
          </w:p>
        </w:tc>
        <w:tc>
          <w:tcPr>
            <w:tcW w:w="1108" w:type="dxa"/>
            <w:tcBorders>
              <w:top w:val="single" w:sz="8" w:space="0" w:color="auto"/>
              <w:left w:val="nil"/>
              <w:bottom w:val="single" w:sz="8" w:space="0" w:color="auto"/>
              <w:right w:val="single" w:sz="8" w:space="0" w:color="auto"/>
            </w:tcBorders>
            <w:vAlign w:val="center"/>
            <w:hideMark/>
          </w:tcPr>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31.10.</w:t>
            </w:r>
          </w:p>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2009</w:t>
            </w:r>
          </w:p>
        </w:tc>
        <w:tc>
          <w:tcPr>
            <w:tcW w:w="1440" w:type="dxa"/>
            <w:tcBorders>
              <w:top w:val="single" w:sz="8" w:space="0" w:color="auto"/>
              <w:left w:val="nil"/>
              <w:bottom w:val="single" w:sz="8" w:space="0" w:color="auto"/>
              <w:right w:val="single" w:sz="8" w:space="0" w:color="auto"/>
            </w:tcBorders>
            <w:vAlign w:val="center"/>
            <w:hideMark/>
          </w:tcPr>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31.10.</w:t>
            </w:r>
          </w:p>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2010</w:t>
            </w:r>
          </w:p>
        </w:tc>
        <w:tc>
          <w:tcPr>
            <w:tcW w:w="1440" w:type="dxa"/>
            <w:tcBorders>
              <w:top w:val="single" w:sz="8" w:space="0" w:color="auto"/>
              <w:left w:val="nil"/>
              <w:bottom w:val="single" w:sz="8" w:space="0" w:color="auto"/>
              <w:right w:val="single" w:sz="8" w:space="0" w:color="auto"/>
            </w:tcBorders>
            <w:vAlign w:val="center"/>
            <w:hideMark/>
          </w:tcPr>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31.10.</w:t>
            </w:r>
          </w:p>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2011</w:t>
            </w:r>
          </w:p>
        </w:tc>
        <w:tc>
          <w:tcPr>
            <w:tcW w:w="1440" w:type="dxa"/>
            <w:tcBorders>
              <w:top w:val="single" w:sz="8" w:space="0" w:color="auto"/>
              <w:left w:val="nil"/>
              <w:bottom w:val="single" w:sz="8" w:space="0" w:color="auto"/>
              <w:right w:val="single" w:sz="8" w:space="0" w:color="auto"/>
            </w:tcBorders>
            <w:vAlign w:val="center"/>
            <w:hideMark/>
          </w:tcPr>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31.10.</w:t>
            </w:r>
          </w:p>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2012</w:t>
            </w:r>
          </w:p>
        </w:tc>
        <w:tc>
          <w:tcPr>
            <w:tcW w:w="1440" w:type="dxa"/>
            <w:tcBorders>
              <w:top w:val="single" w:sz="8" w:space="0" w:color="auto"/>
              <w:left w:val="nil"/>
              <w:bottom w:val="single" w:sz="8" w:space="0" w:color="auto"/>
              <w:right w:val="single" w:sz="8" w:space="0" w:color="auto"/>
            </w:tcBorders>
            <w:vAlign w:val="center"/>
            <w:hideMark/>
          </w:tcPr>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31.10.</w:t>
            </w:r>
          </w:p>
          <w:p w:rsidR="00B51749" w:rsidRPr="00F0732E" w:rsidRDefault="00B51749" w:rsidP="009747F5">
            <w:pPr>
              <w:jc w:val="center"/>
              <w:rPr>
                <w:rFonts w:eastAsia="Times New Roman" w:cs="Arial"/>
                <w:b/>
                <w:bCs/>
                <w:sz w:val="28"/>
                <w:szCs w:val="28"/>
                <w:lang w:eastAsia="sk-SK"/>
              </w:rPr>
            </w:pPr>
            <w:r w:rsidRPr="00F0732E">
              <w:rPr>
                <w:rFonts w:eastAsia="Times New Roman" w:cs="Arial"/>
                <w:b/>
                <w:bCs/>
                <w:sz w:val="28"/>
                <w:szCs w:val="28"/>
                <w:lang w:eastAsia="sk-SK"/>
              </w:rPr>
              <w:t>2013</w:t>
            </w:r>
          </w:p>
        </w:tc>
      </w:tr>
      <w:tr w:rsidR="00B51749" w:rsidRPr="00F0732E" w:rsidTr="009747F5">
        <w:trPr>
          <w:trHeight w:val="525"/>
        </w:trPr>
        <w:tc>
          <w:tcPr>
            <w:tcW w:w="2283" w:type="dxa"/>
            <w:tcBorders>
              <w:top w:val="nil"/>
              <w:left w:val="single" w:sz="8" w:space="0" w:color="auto"/>
              <w:bottom w:val="single" w:sz="8" w:space="0" w:color="auto"/>
              <w:right w:val="single" w:sz="8" w:space="0" w:color="auto"/>
            </w:tcBorders>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mimobratislavké kraje spolu</w:t>
            </w:r>
          </w:p>
        </w:tc>
        <w:tc>
          <w:tcPr>
            <w:tcW w:w="1108"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74,87</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75,24</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76,91</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78,3</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76,2</w:t>
            </w:r>
          </w:p>
        </w:tc>
      </w:tr>
      <w:tr w:rsidR="00B51749" w:rsidRPr="00F0732E" w:rsidTr="009747F5">
        <w:trPr>
          <w:trHeight w:val="270"/>
        </w:trPr>
        <w:tc>
          <w:tcPr>
            <w:tcW w:w="2283" w:type="dxa"/>
            <w:tcBorders>
              <w:top w:val="nil"/>
              <w:left w:val="single" w:sz="8" w:space="0" w:color="auto"/>
              <w:bottom w:val="single" w:sz="8" w:space="0" w:color="auto"/>
              <w:right w:val="single" w:sz="8" w:space="0" w:color="auto"/>
            </w:tcBorders>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bratislavský kraj</w:t>
            </w:r>
          </w:p>
        </w:tc>
        <w:tc>
          <w:tcPr>
            <w:tcW w:w="1108"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25,13</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24,76</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23,09</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21,7</w:t>
            </w:r>
          </w:p>
        </w:tc>
        <w:tc>
          <w:tcPr>
            <w:tcW w:w="1440" w:type="dxa"/>
            <w:tcBorders>
              <w:top w:val="nil"/>
              <w:left w:val="nil"/>
              <w:bottom w:val="single" w:sz="8" w:space="0" w:color="auto"/>
              <w:right w:val="single" w:sz="8"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23,8</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b/>
          <w:sz w:val="28"/>
          <w:szCs w:val="28"/>
        </w:rPr>
        <w:t>Z uvedeného je zrejmý výrazne celoslovenský záber STU</w:t>
      </w:r>
      <w:r w:rsidRPr="00F0732E">
        <w:rPr>
          <w:rFonts w:cs="Calibri"/>
          <w:sz w:val="28"/>
          <w:szCs w:val="28"/>
        </w:rPr>
        <w:t xml:space="preserve"> – v priemere ¾ študentov STU sú mimo bratislavského kraja.</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Zahraniční študenti študujú na STU vo všetkých troch stupňoch vysokoškolského vzdelávania. Počet zahraničných študentov za ostatných 5 akademických rokov udáva Tabuľka 3.12 a Graf 3.4. Z tabuľky vidieť, že počet študentov v posledných rokoch sa znižuje a stále predstavuje z celkového počtu študentov štatisticky nevýznamnú časť. Dôvodom je nie veľký počet študijných programov, ktoré sú komplexne ponúkané a realizované v anglickom jazyku (v takejto podobe štúdium v AJ je realizované na SvF, FCHPT, SjF a FA), ale aj legislatívny rámec pre štúdium cudzincov na území Slovenska, ktorý vytvára bariéry pre uchádzačov zo </w:t>
      </w:r>
      <w:r w:rsidRPr="00F0732E">
        <w:rPr>
          <w:rFonts w:cs="Calibri"/>
          <w:sz w:val="28"/>
          <w:szCs w:val="28"/>
        </w:rPr>
        <w:lastRenderedPageBreak/>
        <w:t>zahraničia (napr. komplikované uznávanie dokladov o absolvovaní štúdia, vízová politika).</w:t>
      </w: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r w:rsidRPr="00F0732E">
        <w:rPr>
          <w:rFonts w:cs="Calibri"/>
          <w:b/>
          <w:sz w:val="28"/>
          <w:szCs w:val="28"/>
        </w:rPr>
        <w:t>Tabuľka 3.12: Zahraniční študenti k 31. 10. daného akademického roka</w:t>
      </w:r>
    </w:p>
    <w:tbl>
      <w:tblPr>
        <w:tblW w:w="6100" w:type="dxa"/>
        <w:tblInd w:w="55" w:type="dxa"/>
        <w:tblCellMar>
          <w:left w:w="70" w:type="dxa"/>
          <w:right w:w="70" w:type="dxa"/>
        </w:tblCellMar>
        <w:tblLook w:val="04A0" w:firstRow="1" w:lastRow="0" w:firstColumn="1" w:lastColumn="0" w:noHBand="0" w:noVBand="1"/>
      </w:tblPr>
      <w:tblGrid>
        <w:gridCol w:w="1038"/>
        <w:gridCol w:w="1609"/>
        <w:gridCol w:w="1609"/>
        <w:gridCol w:w="1609"/>
        <w:gridCol w:w="1609"/>
        <w:gridCol w:w="1609"/>
      </w:tblGrid>
      <w:tr w:rsidR="00B51749" w:rsidRPr="00F0732E" w:rsidTr="00447572">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Stupeň štúdia</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2009/2010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2010/2011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2011/2012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2012/2013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2013/2014</w:t>
            </w:r>
          </w:p>
        </w:tc>
      </w:tr>
      <w:tr w:rsidR="00B51749" w:rsidRPr="00F0732E" w:rsidTr="0044757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I. stupeň</w:t>
            </w:r>
          </w:p>
        </w:tc>
        <w:tc>
          <w:tcPr>
            <w:tcW w:w="104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330</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307</w:t>
            </w:r>
          </w:p>
        </w:tc>
        <w:tc>
          <w:tcPr>
            <w:tcW w:w="10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246</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205</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163</w:t>
            </w:r>
          </w:p>
        </w:tc>
      </w:tr>
      <w:tr w:rsidR="00B51749" w:rsidRPr="00F0732E" w:rsidTr="0044757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II. Stupeň</w:t>
            </w:r>
          </w:p>
        </w:tc>
        <w:tc>
          <w:tcPr>
            <w:tcW w:w="104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67</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44</w:t>
            </w:r>
          </w:p>
        </w:tc>
        <w:tc>
          <w:tcPr>
            <w:tcW w:w="10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34</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49</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54</w:t>
            </w:r>
          </w:p>
        </w:tc>
      </w:tr>
      <w:tr w:rsidR="00B51749" w:rsidRPr="00F0732E" w:rsidTr="0044757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III. stupeň</w:t>
            </w:r>
          </w:p>
        </w:tc>
        <w:tc>
          <w:tcPr>
            <w:tcW w:w="104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99</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95</w:t>
            </w:r>
          </w:p>
        </w:tc>
        <w:tc>
          <w:tcPr>
            <w:tcW w:w="10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101</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87</w:t>
            </w:r>
          </w:p>
        </w:tc>
        <w:tc>
          <w:tcPr>
            <w:tcW w:w="10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center"/>
              <w:rPr>
                <w:rFonts w:eastAsia="Times New Roman" w:cs="Arial"/>
                <w:sz w:val="28"/>
                <w:szCs w:val="28"/>
                <w:lang w:eastAsia="sk-SK"/>
              </w:rPr>
            </w:pPr>
            <w:r w:rsidRPr="00F0732E">
              <w:rPr>
                <w:rFonts w:eastAsia="Times New Roman" w:cs="Arial"/>
                <w:sz w:val="28"/>
                <w:szCs w:val="28"/>
                <w:lang w:eastAsia="sk-SK"/>
              </w:rPr>
              <w:t>81</w:t>
            </w:r>
          </w:p>
        </w:tc>
      </w:tr>
      <w:tr w:rsidR="00B51749" w:rsidRPr="00F0732E" w:rsidTr="00447572">
        <w:trPr>
          <w:trHeight w:val="255"/>
        </w:trPr>
        <w:tc>
          <w:tcPr>
            <w:tcW w:w="1000" w:type="dxa"/>
            <w:tcBorders>
              <w:top w:val="nil"/>
              <w:left w:val="single" w:sz="4" w:space="0" w:color="auto"/>
              <w:bottom w:val="single" w:sz="4" w:space="0" w:color="auto"/>
              <w:right w:val="single" w:sz="4" w:space="0" w:color="auto"/>
            </w:tcBorders>
            <w:shd w:val="clear" w:color="auto" w:fill="D9D9D9"/>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Spolu</w:t>
            </w:r>
          </w:p>
        </w:tc>
        <w:tc>
          <w:tcPr>
            <w:tcW w:w="104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496</w:t>
            </w:r>
          </w:p>
        </w:tc>
        <w:tc>
          <w:tcPr>
            <w:tcW w:w="100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446</w:t>
            </w:r>
          </w:p>
        </w:tc>
        <w:tc>
          <w:tcPr>
            <w:tcW w:w="106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381</w:t>
            </w:r>
          </w:p>
        </w:tc>
        <w:tc>
          <w:tcPr>
            <w:tcW w:w="100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341</w:t>
            </w:r>
          </w:p>
        </w:tc>
        <w:tc>
          <w:tcPr>
            <w:tcW w:w="1000" w:type="dxa"/>
            <w:tcBorders>
              <w:top w:val="nil"/>
              <w:left w:val="nil"/>
              <w:bottom w:val="single" w:sz="4" w:space="0" w:color="auto"/>
              <w:right w:val="single" w:sz="4" w:space="0" w:color="auto"/>
            </w:tcBorders>
            <w:shd w:val="clear" w:color="auto" w:fill="D9D9D9"/>
            <w:noWrap/>
            <w:vAlign w:val="center"/>
            <w:hideMark/>
          </w:tcPr>
          <w:p w:rsidR="00B51749" w:rsidRPr="00F0732E" w:rsidRDefault="00B51749" w:rsidP="00447572">
            <w:pPr>
              <w:ind w:firstLineChars="100" w:firstLine="281"/>
              <w:jc w:val="center"/>
              <w:rPr>
                <w:rFonts w:eastAsia="Times New Roman" w:cs="Arial"/>
                <w:b/>
                <w:bCs/>
                <w:sz w:val="28"/>
                <w:szCs w:val="28"/>
                <w:lang w:eastAsia="sk-SK"/>
              </w:rPr>
            </w:pPr>
            <w:r w:rsidRPr="00F0732E">
              <w:rPr>
                <w:rFonts w:eastAsia="Times New Roman" w:cs="Arial"/>
                <w:b/>
                <w:bCs/>
                <w:sz w:val="28"/>
                <w:szCs w:val="28"/>
                <w:lang w:eastAsia="sk-SK"/>
              </w:rPr>
              <w:t>298</w:t>
            </w:r>
          </w:p>
        </w:tc>
      </w:tr>
    </w:tbl>
    <w:p w:rsidR="00B51749" w:rsidRDefault="00B51749" w:rsidP="00B51749">
      <w:pPr>
        <w:rPr>
          <w:rFonts w:cs="Calibri"/>
          <w:sz w:val="28"/>
          <w:szCs w:val="28"/>
        </w:rPr>
      </w:pPr>
    </w:p>
    <w:p w:rsidR="0000089C" w:rsidRPr="00F0732E" w:rsidRDefault="0000089C" w:rsidP="00B51749">
      <w:pPr>
        <w:rPr>
          <w:rFonts w:cs="Calibri"/>
          <w:b/>
          <w:sz w:val="28"/>
          <w:szCs w:val="28"/>
        </w:rPr>
      </w:pPr>
    </w:p>
    <w:p w:rsidR="00B51749" w:rsidRPr="00F0732E" w:rsidRDefault="00B51749" w:rsidP="00B51749">
      <w:pPr>
        <w:rPr>
          <w:rFonts w:cs="Calibri"/>
          <w:b/>
          <w:sz w:val="28"/>
          <w:szCs w:val="28"/>
        </w:rPr>
      </w:pPr>
      <w:r w:rsidRPr="00F0732E">
        <w:rPr>
          <w:rFonts w:cs="Calibri"/>
          <w:b/>
          <w:sz w:val="28"/>
          <w:szCs w:val="28"/>
        </w:rPr>
        <w:t>Graf 3.6: Zahraniční študenti</w:t>
      </w:r>
    </w:p>
    <w:p w:rsidR="00B51749" w:rsidRPr="00F0732E" w:rsidRDefault="00B51749" w:rsidP="00B51749">
      <w:pPr>
        <w:rPr>
          <w:rFonts w:cs="Calibri"/>
          <w:sz w:val="28"/>
          <w:szCs w:val="28"/>
        </w:rPr>
      </w:pPr>
      <w:r>
        <w:rPr>
          <w:noProof/>
          <w:sz w:val="28"/>
          <w:szCs w:val="28"/>
          <w:lang w:eastAsia="sk-SK"/>
        </w:rPr>
        <w:drawing>
          <wp:inline distT="0" distB="0" distL="0" distR="0">
            <wp:extent cx="5121910" cy="2789555"/>
            <wp:effectExtent l="0" t="0" r="2540" b="0"/>
            <wp:docPr id="40" name="Graf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1749" w:rsidRPr="00F0732E" w:rsidRDefault="00B51749" w:rsidP="00B51749">
      <w:pPr>
        <w:rPr>
          <w:rFonts w:cs="Calibri"/>
          <w:sz w:val="28"/>
          <w:szCs w:val="28"/>
        </w:rPr>
      </w:pPr>
    </w:p>
    <w:p w:rsidR="00B51749" w:rsidRPr="00F0732E" w:rsidRDefault="00B51749" w:rsidP="00B51749">
      <w:pPr>
        <w:pStyle w:val="Nadpis2"/>
        <w:rPr>
          <w:rFonts w:ascii="Cambria" w:hAnsi="Cambria"/>
          <w:color w:val="auto"/>
        </w:rPr>
      </w:pPr>
      <w:bookmarkStart w:id="11" w:name="_Toc413009314"/>
      <w:r w:rsidRPr="00F0732E">
        <w:rPr>
          <w:rFonts w:ascii="Cambria" w:hAnsi="Cambria"/>
          <w:color w:val="auto"/>
        </w:rPr>
        <w:t>Informácie o akademickej mobilite študentov STU</w:t>
      </w:r>
      <w:bookmarkEnd w:id="11"/>
    </w:p>
    <w:p w:rsidR="00B51749" w:rsidRPr="00F0732E" w:rsidRDefault="00B51749" w:rsidP="00B51749">
      <w:pPr>
        <w:rPr>
          <w:b/>
          <w:color w:val="FF0000"/>
          <w:sz w:val="28"/>
          <w:szCs w:val="28"/>
        </w:rPr>
      </w:pPr>
    </w:p>
    <w:p w:rsidR="00B51749" w:rsidRPr="00F0732E" w:rsidRDefault="00B51749" w:rsidP="00B51749">
      <w:pPr>
        <w:pStyle w:val="Zkladntext"/>
        <w:spacing w:line="240" w:lineRule="auto"/>
        <w:ind w:right="-2"/>
        <w:rPr>
          <w:rFonts w:ascii="Cambria" w:hAnsi="Cambria"/>
          <w:color w:val="auto"/>
          <w:sz w:val="28"/>
          <w:szCs w:val="28"/>
        </w:rPr>
      </w:pPr>
      <w:r w:rsidRPr="00F0732E">
        <w:rPr>
          <w:rFonts w:ascii="Cambria" w:hAnsi="Cambria"/>
          <w:color w:val="auto"/>
          <w:sz w:val="28"/>
          <w:szCs w:val="28"/>
        </w:rPr>
        <w:t>STU vysiela študentov na medzinárodné akademické mobility</w:t>
      </w:r>
      <w:r w:rsidRPr="00F0732E">
        <w:rPr>
          <w:rFonts w:ascii="Cambria" w:hAnsi="Cambria"/>
          <w:color w:val="auto"/>
          <w:spacing w:val="22"/>
          <w:sz w:val="28"/>
          <w:szCs w:val="28"/>
        </w:rPr>
        <w:t xml:space="preserve"> </w:t>
      </w:r>
      <w:r w:rsidRPr="00F0732E">
        <w:rPr>
          <w:rFonts w:ascii="Cambria" w:hAnsi="Cambria"/>
          <w:color w:val="auto"/>
          <w:sz w:val="28"/>
          <w:szCs w:val="28"/>
        </w:rPr>
        <w:t>za</w:t>
      </w:r>
      <w:r w:rsidRPr="00F0732E">
        <w:rPr>
          <w:rFonts w:ascii="Cambria" w:hAnsi="Cambria"/>
          <w:color w:val="auto"/>
          <w:w w:val="99"/>
          <w:sz w:val="28"/>
          <w:szCs w:val="28"/>
        </w:rPr>
        <w:t xml:space="preserve"> </w:t>
      </w:r>
      <w:r w:rsidRPr="00F0732E">
        <w:rPr>
          <w:rFonts w:ascii="Cambria" w:hAnsi="Cambria"/>
          <w:color w:val="auto"/>
          <w:sz w:val="28"/>
          <w:szCs w:val="28"/>
        </w:rPr>
        <w:t>účelom štúdia na zahraničných univerzitách alebo na odbornú prax</w:t>
      </w:r>
      <w:r w:rsidRPr="00F0732E">
        <w:rPr>
          <w:rFonts w:ascii="Cambria" w:hAnsi="Cambria"/>
          <w:color w:val="auto"/>
          <w:w w:val="99"/>
          <w:sz w:val="28"/>
          <w:szCs w:val="28"/>
        </w:rPr>
        <w:t xml:space="preserve"> </w:t>
      </w:r>
      <w:r w:rsidRPr="00F0732E">
        <w:rPr>
          <w:rFonts w:ascii="Cambria" w:hAnsi="Cambria"/>
          <w:color w:val="auto"/>
          <w:sz w:val="28"/>
          <w:szCs w:val="28"/>
        </w:rPr>
        <w:t>v zahraničných podnikoch na obdobie jeden až dvanásť mesiacov. Rovnako</w:t>
      </w:r>
      <w:r w:rsidRPr="00F0732E">
        <w:rPr>
          <w:rFonts w:ascii="Cambria" w:hAnsi="Cambria"/>
          <w:color w:val="auto"/>
          <w:spacing w:val="31"/>
          <w:sz w:val="28"/>
          <w:szCs w:val="28"/>
        </w:rPr>
        <w:t xml:space="preserve"> </w:t>
      </w:r>
      <w:r w:rsidRPr="00F0732E">
        <w:rPr>
          <w:rFonts w:ascii="Cambria" w:hAnsi="Cambria"/>
          <w:color w:val="auto"/>
          <w:sz w:val="28"/>
          <w:szCs w:val="28"/>
        </w:rPr>
        <w:t>STU</w:t>
      </w:r>
      <w:r w:rsidRPr="00F0732E">
        <w:rPr>
          <w:rFonts w:ascii="Cambria" w:hAnsi="Cambria"/>
          <w:color w:val="auto"/>
          <w:w w:val="99"/>
          <w:sz w:val="28"/>
          <w:szCs w:val="28"/>
        </w:rPr>
        <w:t xml:space="preserve"> </w:t>
      </w:r>
      <w:r w:rsidRPr="00F0732E">
        <w:rPr>
          <w:rFonts w:ascii="Cambria" w:hAnsi="Cambria"/>
          <w:color w:val="auto"/>
          <w:sz w:val="28"/>
          <w:szCs w:val="28"/>
        </w:rPr>
        <w:t xml:space="preserve">prijíma študentov iných vysokých škôl. V hodnotenom roku STU spolu </w:t>
      </w:r>
      <w:r w:rsidRPr="00F0732E">
        <w:rPr>
          <w:rFonts w:ascii="Cambria" w:hAnsi="Cambria"/>
          <w:b/>
          <w:color w:val="auto"/>
          <w:sz w:val="28"/>
          <w:szCs w:val="28"/>
        </w:rPr>
        <w:t>vyslala</w:t>
      </w:r>
      <w:r w:rsidR="005C1B86">
        <w:rPr>
          <w:rFonts w:ascii="Cambria" w:hAnsi="Cambria"/>
          <w:b/>
          <w:color w:val="auto"/>
          <w:spacing w:val="6"/>
          <w:sz w:val="28"/>
          <w:szCs w:val="28"/>
        </w:rPr>
        <w:t xml:space="preserve"> 325</w:t>
      </w:r>
      <w:r w:rsidRPr="00F0732E">
        <w:rPr>
          <w:rFonts w:ascii="Cambria" w:hAnsi="Cambria"/>
          <w:b/>
          <w:color w:val="auto"/>
          <w:sz w:val="28"/>
          <w:szCs w:val="28"/>
        </w:rPr>
        <w:t xml:space="preserve"> študentov </w:t>
      </w:r>
      <w:r w:rsidRPr="00F0732E">
        <w:rPr>
          <w:rFonts w:ascii="Cambria" w:hAnsi="Cambria"/>
          <w:color w:val="auto"/>
          <w:sz w:val="28"/>
          <w:szCs w:val="28"/>
        </w:rPr>
        <w:t xml:space="preserve">a </w:t>
      </w:r>
      <w:r w:rsidRPr="00F0732E">
        <w:rPr>
          <w:rFonts w:ascii="Cambria" w:hAnsi="Cambria"/>
          <w:b/>
          <w:color w:val="auto"/>
          <w:sz w:val="28"/>
          <w:szCs w:val="28"/>
        </w:rPr>
        <w:t>prijala 1</w:t>
      </w:r>
      <w:r w:rsidR="005C1B86">
        <w:rPr>
          <w:rFonts w:ascii="Cambria" w:hAnsi="Cambria"/>
          <w:b/>
          <w:color w:val="auto"/>
          <w:sz w:val="28"/>
          <w:szCs w:val="28"/>
        </w:rPr>
        <w:t>53</w:t>
      </w:r>
      <w:r w:rsidRPr="00F0732E">
        <w:rPr>
          <w:rFonts w:ascii="Cambria" w:hAnsi="Cambria"/>
          <w:b/>
          <w:color w:val="auto"/>
          <w:sz w:val="28"/>
          <w:szCs w:val="28"/>
        </w:rPr>
        <w:t xml:space="preserve"> zahraničných</w:t>
      </w:r>
      <w:r w:rsidRPr="00F0732E">
        <w:rPr>
          <w:rFonts w:ascii="Cambria" w:hAnsi="Cambria"/>
          <w:b/>
          <w:color w:val="auto"/>
          <w:spacing w:val="-8"/>
          <w:sz w:val="28"/>
          <w:szCs w:val="28"/>
        </w:rPr>
        <w:t xml:space="preserve"> </w:t>
      </w:r>
      <w:r w:rsidRPr="00F0732E">
        <w:rPr>
          <w:rFonts w:ascii="Cambria" w:hAnsi="Cambria"/>
          <w:color w:val="auto"/>
          <w:sz w:val="28"/>
          <w:szCs w:val="28"/>
        </w:rPr>
        <w:t>študentov</w:t>
      </w:r>
      <w:r w:rsidR="005C1B86">
        <w:rPr>
          <w:rFonts w:ascii="Cambria" w:hAnsi="Cambria"/>
          <w:color w:val="auto"/>
          <w:sz w:val="28"/>
          <w:szCs w:val="28"/>
        </w:rPr>
        <w:t xml:space="preserve"> (</w:t>
      </w:r>
      <w:r w:rsidR="0067123B">
        <w:rPr>
          <w:rFonts w:ascii="Cambria" w:hAnsi="Cambria"/>
          <w:color w:val="auto"/>
          <w:sz w:val="28"/>
          <w:szCs w:val="28"/>
        </w:rPr>
        <w:t>T</w:t>
      </w:r>
      <w:r w:rsidR="005C1B86">
        <w:rPr>
          <w:rFonts w:ascii="Cambria" w:hAnsi="Cambria"/>
          <w:color w:val="auto"/>
          <w:sz w:val="28"/>
          <w:szCs w:val="28"/>
        </w:rPr>
        <w:t>abuľka 3.15)</w:t>
      </w:r>
      <w:r w:rsidRPr="00F0732E">
        <w:rPr>
          <w:rFonts w:ascii="Cambria" w:hAnsi="Cambria"/>
          <w:color w:val="auto"/>
          <w:sz w:val="28"/>
          <w:szCs w:val="28"/>
        </w:rPr>
        <w:t>.</w:t>
      </w:r>
    </w:p>
    <w:p w:rsidR="00B51749" w:rsidRPr="00F0732E" w:rsidRDefault="00B51749" w:rsidP="00B51749">
      <w:pPr>
        <w:pStyle w:val="Zkladntext2"/>
        <w:rPr>
          <w:rFonts w:ascii="Cambria" w:hAnsi="Cambria" w:cs="Calibri"/>
          <w:sz w:val="28"/>
          <w:szCs w:val="28"/>
        </w:rPr>
      </w:pPr>
      <w:r w:rsidRPr="00F0732E">
        <w:rPr>
          <w:rFonts w:ascii="Cambria" w:hAnsi="Cambria" w:cs="Calibri"/>
          <w:sz w:val="28"/>
          <w:szCs w:val="28"/>
        </w:rPr>
        <w:t>Mobility sa realizujú cez projekty rôznych medzinárodných programov:</w:t>
      </w:r>
    </w:p>
    <w:p w:rsidR="00B51749" w:rsidRPr="00F0732E" w:rsidRDefault="00B51749" w:rsidP="00B51749">
      <w:pPr>
        <w:pStyle w:val="Zkladntext2"/>
        <w:numPr>
          <w:ilvl w:val="0"/>
          <w:numId w:val="1"/>
        </w:numPr>
        <w:tabs>
          <w:tab w:val="num" w:pos="-284"/>
        </w:tabs>
        <w:ind w:left="284" w:hanging="284"/>
        <w:rPr>
          <w:rFonts w:ascii="Cambria" w:hAnsi="Cambria" w:cs="Calibri"/>
          <w:sz w:val="28"/>
          <w:szCs w:val="28"/>
        </w:rPr>
      </w:pPr>
      <w:r w:rsidRPr="00F0732E">
        <w:rPr>
          <w:rFonts w:ascii="Cambria" w:hAnsi="Cambria" w:cs="Calibri"/>
          <w:sz w:val="28"/>
          <w:szCs w:val="28"/>
        </w:rPr>
        <w:lastRenderedPageBreak/>
        <w:t xml:space="preserve">Program Európskej únie </w:t>
      </w:r>
      <w:r w:rsidRPr="00F0732E">
        <w:rPr>
          <w:rFonts w:ascii="Cambria" w:hAnsi="Cambria" w:cs="Calibri"/>
          <w:b/>
          <w:sz w:val="28"/>
          <w:szCs w:val="28"/>
        </w:rPr>
        <w:t>Lifelong Learning Programme</w:t>
      </w:r>
      <w:r w:rsidRPr="00F0732E">
        <w:rPr>
          <w:rFonts w:ascii="Cambria" w:hAnsi="Cambria" w:cs="Calibri"/>
          <w:sz w:val="28"/>
          <w:szCs w:val="28"/>
        </w:rPr>
        <w:t xml:space="preserve"> a jeho podprogram </w:t>
      </w:r>
      <w:r w:rsidRPr="00F0732E">
        <w:rPr>
          <w:rFonts w:ascii="Cambria" w:hAnsi="Cambria" w:cs="Calibri"/>
          <w:b/>
          <w:sz w:val="28"/>
          <w:szCs w:val="28"/>
        </w:rPr>
        <w:t>Erasmus - Mobilities</w:t>
      </w:r>
      <w:r w:rsidRPr="00F0732E">
        <w:rPr>
          <w:rFonts w:ascii="Cambria" w:hAnsi="Cambria" w:cs="Calibri"/>
          <w:sz w:val="28"/>
          <w:szCs w:val="28"/>
        </w:rPr>
        <w:t>, určený pre</w:t>
      </w:r>
      <w:r w:rsidRPr="00F0732E">
        <w:rPr>
          <w:rFonts w:ascii="Cambria" w:hAnsi="Cambria" w:cs="Calibri"/>
          <w:b/>
          <w:sz w:val="28"/>
          <w:szCs w:val="28"/>
        </w:rPr>
        <w:t xml:space="preserve"> </w:t>
      </w:r>
      <w:r w:rsidRPr="00F0732E">
        <w:rPr>
          <w:rFonts w:ascii="Cambria" w:hAnsi="Cambria" w:cs="Calibri"/>
          <w:sz w:val="28"/>
          <w:szCs w:val="28"/>
        </w:rPr>
        <w:t>mobility študentov, učiteľov a pracovníkov.</w:t>
      </w:r>
    </w:p>
    <w:p w:rsidR="00B51749" w:rsidRPr="00F0732E" w:rsidRDefault="00B51749" w:rsidP="00B51749">
      <w:pPr>
        <w:pStyle w:val="Zkladntext2"/>
        <w:numPr>
          <w:ilvl w:val="0"/>
          <w:numId w:val="1"/>
        </w:numPr>
        <w:tabs>
          <w:tab w:val="num" w:pos="-284"/>
        </w:tabs>
        <w:ind w:left="284" w:hanging="284"/>
        <w:rPr>
          <w:rFonts w:ascii="Cambria" w:hAnsi="Cambria" w:cs="Calibri"/>
          <w:sz w:val="28"/>
          <w:szCs w:val="28"/>
        </w:rPr>
      </w:pPr>
      <w:r w:rsidRPr="00F0732E">
        <w:rPr>
          <w:rFonts w:ascii="Cambria" w:hAnsi="Cambria" w:cs="Calibri"/>
          <w:sz w:val="28"/>
          <w:szCs w:val="28"/>
        </w:rPr>
        <w:t xml:space="preserve">Program </w:t>
      </w:r>
      <w:r w:rsidRPr="00F0732E">
        <w:rPr>
          <w:rFonts w:ascii="Cambria" w:hAnsi="Cambria" w:cs="Calibri"/>
          <w:b/>
          <w:sz w:val="28"/>
          <w:szCs w:val="28"/>
        </w:rPr>
        <w:t xml:space="preserve">CEEPUS </w:t>
      </w:r>
      <w:r w:rsidRPr="00F0732E">
        <w:rPr>
          <w:rFonts w:ascii="Cambria" w:hAnsi="Cambria" w:cs="Calibri"/>
          <w:sz w:val="28"/>
          <w:szCs w:val="28"/>
        </w:rPr>
        <w:t>(Central European Exchange Program</w:t>
      </w:r>
      <w:r w:rsidRPr="00F0732E">
        <w:rPr>
          <w:rFonts w:ascii="Cambria" w:hAnsi="Cambria" w:cs="Calibri"/>
          <w:b/>
          <w:sz w:val="28"/>
          <w:szCs w:val="28"/>
        </w:rPr>
        <w:t xml:space="preserve"> </w:t>
      </w:r>
      <w:r w:rsidRPr="00F0732E">
        <w:rPr>
          <w:rFonts w:ascii="Cambria" w:hAnsi="Cambria" w:cs="Calibri"/>
          <w:sz w:val="28"/>
          <w:szCs w:val="28"/>
        </w:rPr>
        <w:t>for University Studies), ktorý podporuje</w:t>
      </w:r>
      <w:r w:rsidRPr="00F0732E">
        <w:rPr>
          <w:rFonts w:ascii="Cambria" w:hAnsi="Cambria" w:cs="Calibri"/>
          <w:b/>
          <w:sz w:val="28"/>
          <w:szCs w:val="28"/>
        </w:rPr>
        <w:t xml:space="preserve"> </w:t>
      </w:r>
      <w:r w:rsidRPr="00F0732E">
        <w:rPr>
          <w:rFonts w:ascii="Cambria" w:hAnsi="Cambria" w:cs="Calibri"/>
          <w:sz w:val="28"/>
          <w:szCs w:val="28"/>
        </w:rPr>
        <w:t>študijné</w:t>
      </w:r>
      <w:r w:rsidRPr="00F0732E">
        <w:rPr>
          <w:rFonts w:ascii="Cambria" w:hAnsi="Cambria" w:cs="Calibri"/>
          <w:b/>
          <w:sz w:val="28"/>
          <w:szCs w:val="28"/>
        </w:rPr>
        <w:t xml:space="preserve"> </w:t>
      </w:r>
      <w:r w:rsidRPr="00F0732E">
        <w:rPr>
          <w:rFonts w:ascii="Cambria" w:hAnsi="Cambria" w:cs="Calibri"/>
          <w:sz w:val="28"/>
          <w:szCs w:val="28"/>
        </w:rPr>
        <w:t>výmenné pobyty na univerzitách v štátoch strednej Európy.</w:t>
      </w:r>
    </w:p>
    <w:p w:rsidR="00B51749" w:rsidRPr="00F0732E" w:rsidRDefault="00B51749" w:rsidP="00B51749">
      <w:pPr>
        <w:pStyle w:val="Zkladntext2"/>
        <w:numPr>
          <w:ilvl w:val="0"/>
          <w:numId w:val="1"/>
        </w:numPr>
        <w:tabs>
          <w:tab w:val="num" w:pos="-284"/>
        </w:tabs>
        <w:ind w:left="284" w:hanging="284"/>
        <w:rPr>
          <w:rFonts w:ascii="Cambria" w:hAnsi="Cambria" w:cs="Calibri"/>
          <w:sz w:val="28"/>
          <w:szCs w:val="28"/>
        </w:rPr>
      </w:pPr>
      <w:r w:rsidRPr="00F0732E">
        <w:rPr>
          <w:rFonts w:ascii="Cambria" w:hAnsi="Cambria" w:cs="Calibri"/>
          <w:b/>
          <w:sz w:val="28"/>
          <w:szCs w:val="28"/>
        </w:rPr>
        <w:t>Národný štipendijný program Slovenskej republiky</w:t>
      </w:r>
      <w:r w:rsidRPr="00F0732E">
        <w:rPr>
          <w:rFonts w:ascii="Cambria" w:hAnsi="Cambria" w:cs="Calibri"/>
          <w:sz w:val="28"/>
          <w:szCs w:val="28"/>
        </w:rPr>
        <w:t xml:space="preserve"> (NŠP), ktorého cieľom je podpora mobilít študentov, doktorandov, vysokoškolských učiteľov a vedeckých pracovníkov. </w:t>
      </w:r>
    </w:p>
    <w:p w:rsidR="00B51749" w:rsidRPr="00F0732E" w:rsidRDefault="00B51749" w:rsidP="00B51749">
      <w:pPr>
        <w:pStyle w:val="Zkladntext2"/>
        <w:numPr>
          <w:ilvl w:val="0"/>
          <w:numId w:val="1"/>
        </w:numPr>
        <w:tabs>
          <w:tab w:val="num" w:pos="-284"/>
        </w:tabs>
        <w:ind w:left="284" w:hanging="284"/>
        <w:rPr>
          <w:rFonts w:ascii="Cambria" w:hAnsi="Cambria" w:cs="Calibri"/>
          <w:sz w:val="28"/>
          <w:szCs w:val="28"/>
        </w:rPr>
      </w:pPr>
      <w:r w:rsidRPr="00F0732E">
        <w:rPr>
          <w:rFonts w:ascii="Cambria" w:hAnsi="Cambria" w:cs="Calibri"/>
          <w:sz w:val="28"/>
          <w:szCs w:val="28"/>
        </w:rPr>
        <w:t xml:space="preserve">Na základe </w:t>
      </w:r>
      <w:r w:rsidRPr="00F0732E">
        <w:rPr>
          <w:rFonts w:ascii="Cambria" w:hAnsi="Cambria" w:cs="Calibri"/>
          <w:b/>
          <w:sz w:val="28"/>
          <w:szCs w:val="28"/>
        </w:rPr>
        <w:t>univerzitnej dohody</w:t>
      </w:r>
      <w:r w:rsidRPr="00F0732E">
        <w:rPr>
          <w:rFonts w:ascii="Cambria" w:hAnsi="Cambria" w:cs="Calibri"/>
          <w:sz w:val="28"/>
          <w:szCs w:val="28"/>
        </w:rPr>
        <w:t xml:space="preserve"> vysiela STU svojich študentov do Japonska na štipendijné študijné pobyty na </w:t>
      </w:r>
      <w:r w:rsidRPr="00F0732E">
        <w:rPr>
          <w:rFonts w:ascii="Cambria" w:hAnsi="Cambria" w:cs="Calibri"/>
          <w:b/>
          <w:sz w:val="28"/>
          <w:szCs w:val="28"/>
        </w:rPr>
        <w:t>Kanazawa University</w:t>
      </w:r>
      <w:r w:rsidRPr="00F0732E">
        <w:rPr>
          <w:rFonts w:ascii="Cambria" w:hAnsi="Cambria" w:cs="Calibri"/>
          <w:sz w:val="28"/>
          <w:szCs w:val="28"/>
        </w:rPr>
        <w:t xml:space="preserve">. </w:t>
      </w:r>
    </w:p>
    <w:p w:rsidR="00B51749" w:rsidRPr="00F0732E" w:rsidRDefault="00B51749" w:rsidP="00B51749">
      <w:pPr>
        <w:pStyle w:val="Zkladntext2"/>
        <w:numPr>
          <w:ilvl w:val="0"/>
          <w:numId w:val="1"/>
        </w:numPr>
        <w:tabs>
          <w:tab w:val="num" w:pos="-284"/>
        </w:tabs>
        <w:ind w:left="284" w:hanging="284"/>
        <w:rPr>
          <w:rFonts w:ascii="Cambria" w:hAnsi="Cambria" w:cs="Calibri"/>
          <w:sz w:val="28"/>
          <w:szCs w:val="28"/>
        </w:rPr>
      </w:pPr>
      <w:r w:rsidRPr="00F0732E">
        <w:rPr>
          <w:rFonts w:ascii="Cambria" w:hAnsi="Cambria" w:cs="Calibri"/>
          <w:sz w:val="28"/>
          <w:szCs w:val="28"/>
        </w:rPr>
        <w:t xml:space="preserve">V rámci medzinárodného programu Európskej únie a Japan Centre for Industrial Cooperation nazývaného </w:t>
      </w:r>
      <w:r w:rsidRPr="00F0732E">
        <w:rPr>
          <w:rFonts w:ascii="Cambria" w:hAnsi="Cambria" w:cs="Calibri"/>
          <w:b/>
          <w:sz w:val="28"/>
          <w:szCs w:val="28"/>
        </w:rPr>
        <w:t>Vulcanus</w:t>
      </w:r>
      <w:r w:rsidRPr="00F0732E">
        <w:rPr>
          <w:rFonts w:ascii="Cambria" w:hAnsi="Cambria" w:cs="Calibri"/>
          <w:sz w:val="28"/>
          <w:szCs w:val="28"/>
        </w:rPr>
        <w:t xml:space="preserve"> odchádzajú študenti STU na pracovné stáže do japonských firiem.</w:t>
      </w:r>
    </w:p>
    <w:p w:rsidR="00B51749" w:rsidRPr="00F0732E" w:rsidRDefault="00B51749" w:rsidP="00B51749">
      <w:pPr>
        <w:pStyle w:val="Zkladntext2"/>
        <w:ind w:right="-2"/>
        <w:rPr>
          <w:rFonts w:ascii="Cambria" w:hAnsi="Cambria" w:cs="Calibri"/>
          <w:sz w:val="28"/>
          <w:szCs w:val="28"/>
        </w:rPr>
      </w:pPr>
      <w:r w:rsidRPr="00F0732E">
        <w:rPr>
          <w:rFonts w:ascii="Cambria" w:hAnsi="Cambria"/>
          <w:sz w:val="28"/>
          <w:szCs w:val="28"/>
        </w:rPr>
        <w:t xml:space="preserve">Prehľad mobilít študentov na STU cez Erasmus, NŠP a CEEPUS za rok 2013/2014 uvádza Tabuľka </w:t>
      </w:r>
      <w:r w:rsidRPr="00F0732E">
        <w:rPr>
          <w:rFonts w:ascii="Cambria" w:hAnsi="Cambria" w:cs="Calibri"/>
          <w:sz w:val="28"/>
          <w:szCs w:val="28"/>
        </w:rPr>
        <w:t>3.13.</w:t>
      </w:r>
    </w:p>
    <w:p w:rsidR="00B51749" w:rsidRPr="00F0732E" w:rsidRDefault="00B51749" w:rsidP="00B51749">
      <w:pPr>
        <w:pStyle w:val="Zkladntext2"/>
        <w:ind w:right="-2"/>
        <w:rPr>
          <w:rFonts w:ascii="Cambria" w:hAnsi="Cambria" w:cs="Calibri"/>
          <w:b/>
          <w:sz w:val="28"/>
          <w:szCs w:val="28"/>
        </w:rPr>
      </w:pPr>
    </w:p>
    <w:p w:rsidR="00B51749" w:rsidRPr="00F0732E" w:rsidRDefault="00B51749" w:rsidP="00B51749">
      <w:pPr>
        <w:pStyle w:val="Zkladntext2"/>
        <w:rPr>
          <w:rFonts w:ascii="Cambria" w:hAnsi="Cambria" w:cs="Calibri"/>
          <w:b/>
          <w:sz w:val="28"/>
          <w:szCs w:val="28"/>
          <w:lang w:eastAsia="sk-SK"/>
        </w:rPr>
      </w:pPr>
      <w:r w:rsidRPr="00F0732E">
        <w:rPr>
          <w:rFonts w:ascii="Cambria" w:hAnsi="Cambria" w:cs="Calibri"/>
          <w:b/>
          <w:bCs/>
          <w:sz w:val="28"/>
          <w:szCs w:val="28"/>
          <w:lang w:eastAsia="sk-SK"/>
        </w:rPr>
        <w:t>Tabuľka 3.13: Mobility študentov v roku 2013/2014</w:t>
      </w:r>
    </w:p>
    <w:tbl>
      <w:tblPr>
        <w:tblW w:w="8820" w:type="dxa"/>
        <w:tblInd w:w="55" w:type="dxa"/>
        <w:tblCellMar>
          <w:left w:w="70" w:type="dxa"/>
          <w:right w:w="70" w:type="dxa"/>
        </w:tblCellMar>
        <w:tblLook w:val="04A0" w:firstRow="1" w:lastRow="0" w:firstColumn="1" w:lastColumn="0" w:noHBand="0" w:noVBand="1"/>
      </w:tblPr>
      <w:tblGrid>
        <w:gridCol w:w="1140"/>
        <w:gridCol w:w="960"/>
        <w:gridCol w:w="960"/>
        <w:gridCol w:w="960"/>
        <w:gridCol w:w="960"/>
        <w:gridCol w:w="960"/>
        <w:gridCol w:w="960"/>
        <w:gridCol w:w="960"/>
        <w:gridCol w:w="960"/>
      </w:tblGrid>
      <w:tr w:rsidR="00B51749" w:rsidRPr="00F0732E" w:rsidTr="00447572">
        <w:trPr>
          <w:trHeight w:val="20"/>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1920" w:type="dxa"/>
            <w:gridSpan w:val="2"/>
            <w:tcBorders>
              <w:top w:val="single" w:sz="4" w:space="0" w:color="000000"/>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ERASMUS</w:t>
            </w:r>
          </w:p>
        </w:tc>
        <w:tc>
          <w:tcPr>
            <w:tcW w:w="1920" w:type="dxa"/>
            <w:gridSpan w:val="2"/>
            <w:tcBorders>
              <w:top w:val="single" w:sz="4" w:space="0" w:color="000000"/>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NŠP</w:t>
            </w:r>
          </w:p>
        </w:tc>
        <w:tc>
          <w:tcPr>
            <w:tcW w:w="19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CEEPUS</w:t>
            </w:r>
          </w:p>
        </w:tc>
        <w:tc>
          <w:tcPr>
            <w:tcW w:w="1920" w:type="dxa"/>
            <w:gridSpan w:val="2"/>
            <w:tcBorders>
              <w:top w:val="single" w:sz="4" w:space="0" w:color="000000"/>
              <w:left w:val="nil"/>
              <w:bottom w:val="single" w:sz="4" w:space="0" w:color="000000"/>
              <w:right w:val="single" w:sz="4" w:space="0" w:color="000000"/>
            </w:tcBorders>
            <w:shd w:val="clear" w:color="auto" w:fill="D9D9D9"/>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r>
      <w:tr w:rsidR="00B51749"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Fakulty</w:t>
            </w:r>
          </w:p>
        </w:tc>
        <w:tc>
          <w:tcPr>
            <w:tcW w:w="96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V</w:t>
            </w:r>
          </w:p>
        </w:tc>
        <w:tc>
          <w:tcPr>
            <w:tcW w:w="96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w:t>
            </w:r>
          </w:p>
        </w:tc>
        <w:tc>
          <w:tcPr>
            <w:tcW w:w="96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V</w:t>
            </w:r>
          </w:p>
        </w:tc>
        <w:tc>
          <w:tcPr>
            <w:tcW w:w="96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w:t>
            </w:r>
          </w:p>
        </w:tc>
        <w:tc>
          <w:tcPr>
            <w:tcW w:w="960" w:type="dxa"/>
            <w:tcBorders>
              <w:top w:val="nil"/>
              <w:left w:val="nil"/>
              <w:bottom w:val="single" w:sz="4" w:space="0" w:color="000000"/>
              <w:right w:val="single" w:sz="4"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V</w:t>
            </w:r>
          </w:p>
        </w:tc>
        <w:tc>
          <w:tcPr>
            <w:tcW w:w="960" w:type="dxa"/>
            <w:tcBorders>
              <w:top w:val="nil"/>
              <w:left w:val="nil"/>
              <w:bottom w:val="single" w:sz="4" w:space="0" w:color="000000"/>
              <w:right w:val="single" w:sz="4" w:space="0" w:color="000000"/>
            </w:tcBorders>
            <w:shd w:val="clear" w:color="000000"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w:t>
            </w:r>
          </w:p>
        </w:tc>
        <w:tc>
          <w:tcPr>
            <w:tcW w:w="960" w:type="dxa"/>
            <w:tcBorders>
              <w:top w:val="nil"/>
              <w:left w:val="nil"/>
              <w:bottom w:val="single" w:sz="4" w:space="0" w:color="000000"/>
              <w:right w:val="single" w:sz="4" w:space="0" w:color="000000"/>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V</w:t>
            </w:r>
          </w:p>
        </w:tc>
        <w:tc>
          <w:tcPr>
            <w:tcW w:w="960" w:type="dxa"/>
            <w:tcBorders>
              <w:top w:val="nil"/>
              <w:left w:val="nil"/>
              <w:bottom w:val="single" w:sz="4" w:space="0" w:color="000000"/>
              <w:right w:val="single" w:sz="4" w:space="0" w:color="000000"/>
            </w:tcBorders>
            <w:shd w:val="clear" w:color="auto" w:fill="D9D9D9"/>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SvF</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59</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19</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13</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4</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5</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76</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25</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SjF</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23</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13</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4</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6</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29</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20</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FEI</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20</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16</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4</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24</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18</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FCHPT</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18</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6</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25</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15</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FA</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76</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24</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77</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25</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MTF</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5</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15</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8</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28</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14</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FIIT</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12</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 </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13</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w:t>
            </w:r>
          </w:p>
        </w:tc>
      </w:tr>
      <w:tr w:rsidR="00AC5B2A" w:rsidRPr="00F0732E" w:rsidTr="00447572">
        <w:trPr>
          <w:trHeight w:val="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ÚM</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11</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4</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2</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sz w:val="28"/>
                <w:szCs w:val="28"/>
                <w:lang w:eastAsia="sk-SK"/>
              </w:rPr>
            </w:pPr>
            <w:r w:rsidRPr="00F0732E">
              <w:rPr>
                <w:rFonts w:eastAsia="Times New Roman" w:cs="Arial"/>
                <w:sz w:val="28"/>
                <w:szCs w:val="28"/>
                <w:lang w:eastAsia="sk-SK"/>
              </w:rPr>
              <w:t>1</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6</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0</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19</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sz w:val="28"/>
                <w:szCs w:val="28"/>
                <w:lang w:eastAsia="sk-SK"/>
              </w:rPr>
            </w:pPr>
            <w:r w:rsidRPr="00AC5B2A">
              <w:rPr>
                <w:rFonts w:asciiTheme="majorHAnsi" w:eastAsia="Times New Roman" w:hAnsiTheme="majorHAnsi" w:cs="Arial"/>
                <w:sz w:val="28"/>
                <w:szCs w:val="28"/>
                <w:lang w:eastAsia="sk-SK"/>
              </w:rPr>
              <w:t>5</w:t>
            </w:r>
          </w:p>
        </w:tc>
      </w:tr>
      <w:tr w:rsidR="00AC5B2A" w:rsidRPr="00F0732E" w:rsidTr="00447572">
        <w:trPr>
          <w:trHeight w:val="20"/>
        </w:trPr>
        <w:tc>
          <w:tcPr>
            <w:tcW w:w="1140" w:type="dxa"/>
            <w:tcBorders>
              <w:top w:val="nil"/>
              <w:left w:val="single" w:sz="4" w:space="0" w:color="000000"/>
              <w:bottom w:val="nil"/>
              <w:right w:val="single" w:sz="4" w:space="0" w:color="000000"/>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Spolu</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230</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89</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33</w:t>
            </w:r>
          </w:p>
        </w:tc>
        <w:tc>
          <w:tcPr>
            <w:tcW w:w="960" w:type="dxa"/>
            <w:tcBorders>
              <w:top w:val="nil"/>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13</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b/>
                <w:bCs/>
                <w:sz w:val="28"/>
                <w:szCs w:val="28"/>
                <w:lang w:eastAsia="sk-SK"/>
              </w:rPr>
            </w:pPr>
            <w:r w:rsidRPr="00AC5B2A">
              <w:rPr>
                <w:rFonts w:asciiTheme="majorHAnsi" w:eastAsia="Times New Roman" w:hAnsiTheme="majorHAnsi" w:cs="Arial"/>
                <w:b/>
                <w:bCs/>
                <w:sz w:val="28"/>
                <w:szCs w:val="28"/>
                <w:lang w:eastAsia="sk-SK"/>
              </w:rPr>
              <w:t>28</w:t>
            </w:r>
          </w:p>
        </w:tc>
        <w:tc>
          <w:tcPr>
            <w:tcW w:w="960" w:type="dxa"/>
            <w:tcBorders>
              <w:top w:val="nil"/>
              <w:left w:val="nil"/>
              <w:bottom w:val="single" w:sz="4" w:space="0" w:color="000000"/>
              <w:right w:val="single" w:sz="4" w:space="0" w:color="000000"/>
            </w:tcBorders>
            <w:shd w:val="clear" w:color="000000" w:fill="FFFFFF"/>
            <w:vAlign w:val="center"/>
            <w:hideMark/>
          </w:tcPr>
          <w:p w:rsidR="00AC5B2A" w:rsidRPr="00AC5B2A" w:rsidRDefault="00AC5B2A" w:rsidP="00AC5B2A">
            <w:pPr>
              <w:jc w:val="center"/>
              <w:rPr>
                <w:rFonts w:asciiTheme="majorHAnsi" w:eastAsia="Times New Roman" w:hAnsiTheme="majorHAnsi" w:cs="Arial"/>
                <w:b/>
                <w:bCs/>
                <w:sz w:val="28"/>
                <w:szCs w:val="28"/>
                <w:lang w:eastAsia="sk-SK"/>
              </w:rPr>
            </w:pPr>
            <w:r w:rsidRPr="00AC5B2A">
              <w:rPr>
                <w:rFonts w:asciiTheme="majorHAnsi" w:eastAsia="Times New Roman" w:hAnsiTheme="majorHAnsi" w:cs="Arial"/>
                <w:b/>
                <w:bCs/>
                <w:sz w:val="28"/>
                <w:szCs w:val="28"/>
                <w:lang w:eastAsia="sk-SK"/>
              </w:rPr>
              <w:t>21</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b/>
                <w:bCs/>
                <w:sz w:val="28"/>
                <w:szCs w:val="28"/>
                <w:lang w:eastAsia="sk-SK"/>
              </w:rPr>
            </w:pPr>
            <w:r w:rsidRPr="00AC5B2A">
              <w:rPr>
                <w:rFonts w:asciiTheme="majorHAnsi" w:eastAsia="Times New Roman" w:hAnsiTheme="majorHAnsi" w:cs="Arial"/>
                <w:b/>
                <w:bCs/>
                <w:sz w:val="28"/>
                <w:szCs w:val="28"/>
                <w:lang w:eastAsia="sk-SK"/>
              </w:rPr>
              <w:t>291</w:t>
            </w:r>
          </w:p>
        </w:tc>
        <w:tc>
          <w:tcPr>
            <w:tcW w:w="960" w:type="dxa"/>
            <w:tcBorders>
              <w:top w:val="nil"/>
              <w:left w:val="nil"/>
              <w:bottom w:val="single" w:sz="4" w:space="0" w:color="000000"/>
              <w:right w:val="single" w:sz="4" w:space="0" w:color="000000"/>
            </w:tcBorders>
            <w:shd w:val="clear" w:color="auto" w:fill="D9D9D9"/>
            <w:vAlign w:val="center"/>
            <w:hideMark/>
          </w:tcPr>
          <w:p w:rsidR="00AC5B2A" w:rsidRPr="00AC5B2A" w:rsidRDefault="00AC5B2A" w:rsidP="00AC5B2A">
            <w:pPr>
              <w:jc w:val="center"/>
              <w:rPr>
                <w:rFonts w:asciiTheme="majorHAnsi" w:eastAsia="Times New Roman" w:hAnsiTheme="majorHAnsi" w:cs="Arial"/>
                <w:b/>
                <w:bCs/>
                <w:sz w:val="28"/>
                <w:szCs w:val="28"/>
                <w:lang w:eastAsia="sk-SK"/>
              </w:rPr>
            </w:pPr>
            <w:r w:rsidRPr="00AC5B2A">
              <w:rPr>
                <w:rFonts w:asciiTheme="majorHAnsi" w:eastAsia="Times New Roman" w:hAnsiTheme="majorHAnsi" w:cs="Arial"/>
                <w:b/>
                <w:bCs/>
                <w:sz w:val="28"/>
                <w:szCs w:val="28"/>
                <w:lang w:eastAsia="sk-SK"/>
              </w:rPr>
              <w:t>123</w:t>
            </w:r>
          </w:p>
        </w:tc>
      </w:tr>
      <w:tr w:rsidR="00AC5B2A" w:rsidRPr="00F0732E" w:rsidTr="00447572">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B2A" w:rsidRPr="00F0732E" w:rsidRDefault="00AC5B2A" w:rsidP="00AC5B2A">
            <w:pPr>
              <w:rPr>
                <w:rFonts w:eastAsia="Times New Roman" w:cs="Arial"/>
                <w:b/>
                <w:bCs/>
                <w:sz w:val="28"/>
                <w:szCs w:val="28"/>
                <w:lang w:eastAsia="sk-SK"/>
              </w:rPr>
            </w:pPr>
            <w:r w:rsidRPr="00F0732E">
              <w:rPr>
                <w:rFonts w:eastAsia="Times New Roman" w:cs="Arial"/>
                <w:b/>
                <w:bCs/>
                <w:sz w:val="28"/>
                <w:szCs w:val="28"/>
                <w:lang w:eastAsia="sk-SK"/>
              </w:rPr>
              <w:t> </w:t>
            </w:r>
          </w:p>
        </w:tc>
        <w:tc>
          <w:tcPr>
            <w:tcW w:w="1920" w:type="dxa"/>
            <w:gridSpan w:val="2"/>
            <w:tcBorders>
              <w:top w:val="single" w:sz="4" w:space="0" w:color="000000"/>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∑319</w:t>
            </w:r>
          </w:p>
        </w:tc>
        <w:tc>
          <w:tcPr>
            <w:tcW w:w="1920" w:type="dxa"/>
            <w:gridSpan w:val="2"/>
            <w:tcBorders>
              <w:top w:val="single" w:sz="4" w:space="0" w:color="000000"/>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sidRPr="00F0732E">
              <w:rPr>
                <w:rFonts w:eastAsia="Times New Roman" w:cs="Arial"/>
                <w:b/>
                <w:bCs/>
                <w:sz w:val="28"/>
                <w:szCs w:val="28"/>
                <w:lang w:eastAsia="sk-SK"/>
              </w:rPr>
              <w:t>∑46</w:t>
            </w:r>
          </w:p>
        </w:tc>
        <w:tc>
          <w:tcPr>
            <w:tcW w:w="1920" w:type="dxa"/>
            <w:gridSpan w:val="2"/>
            <w:tcBorders>
              <w:top w:val="single" w:sz="4" w:space="0" w:color="000000"/>
              <w:left w:val="nil"/>
              <w:bottom w:val="single" w:sz="4" w:space="0" w:color="000000"/>
              <w:right w:val="single" w:sz="4" w:space="0" w:color="000000"/>
            </w:tcBorders>
            <w:shd w:val="clear" w:color="auto" w:fill="auto"/>
            <w:vAlign w:val="center"/>
            <w:hideMark/>
          </w:tcPr>
          <w:p w:rsidR="00AC5B2A" w:rsidRPr="00F0732E" w:rsidRDefault="00AC5B2A" w:rsidP="00AC5B2A">
            <w:pPr>
              <w:jc w:val="center"/>
              <w:rPr>
                <w:rFonts w:eastAsia="Times New Roman" w:cs="Arial"/>
                <w:b/>
                <w:bCs/>
                <w:sz w:val="28"/>
                <w:szCs w:val="28"/>
                <w:lang w:eastAsia="sk-SK"/>
              </w:rPr>
            </w:pPr>
            <w:r>
              <w:rPr>
                <w:rFonts w:eastAsia="Times New Roman" w:cs="Arial"/>
                <w:b/>
                <w:bCs/>
                <w:sz w:val="28"/>
                <w:szCs w:val="28"/>
                <w:lang w:eastAsia="sk-SK"/>
              </w:rPr>
              <w:t>∑49</w:t>
            </w:r>
          </w:p>
        </w:tc>
        <w:tc>
          <w:tcPr>
            <w:tcW w:w="1920" w:type="dxa"/>
            <w:gridSpan w:val="2"/>
            <w:tcBorders>
              <w:top w:val="single" w:sz="4" w:space="0" w:color="000000"/>
              <w:left w:val="nil"/>
              <w:bottom w:val="single" w:sz="4" w:space="0" w:color="000000"/>
              <w:right w:val="single" w:sz="4" w:space="0" w:color="000000"/>
            </w:tcBorders>
            <w:shd w:val="clear" w:color="auto" w:fill="D9D9D9"/>
            <w:vAlign w:val="center"/>
            <w:hideMark/>
          </w:tcPr>
          <w:p w:rsidR="00AC5B2A" w:rsidRPr="00F0732E" w:rsidRDefault="00AC5B2A" w:rsidP="00AC5B2A">
            <w:pPr>
              <w:jc w:val="center"/>
              <w:rPr>
                <w:rFonts w:eastAsia="Times New Roman" w:cs="Arial"/>
                <w:b/>
                <w:bCs/>
                <w:sz w:val="28"/>
                <w:szCs w:val="28"/>
                <w:lang w:eastAsia="sk-SK"/>
              </w:rPr>
            </w:pPr>
            <w:r>
              <w:rPr>
                <w:rFonts w:eastAsia="Times New Roman" w:cs="Arial"/>
                <w:b/>
                <w:bCs/>
                <w:sz w:val="28"/>
                <w:szCs w:val="28"/>
                <w:lang w:eastAsia="sk-SK"/>
              </w:rPr>
              <w:t>∑414</w:t>
            </w:r>
          </w:p>
        </w:tc>
      </w:tr>
    </w:tbl>
    <w:p w:rsidR="00B51749" w:rsidRPr="00F0732E" w:rsidRDefault="00B51749" w:rsidP="00B51749">
      <w:pPr>
        <w:pStyle w:val="Zkladntext2"/>
        <w:rPr>
          <w:rFonts w:ascii="Cambria" w:hAnsi="Cambria" w:cs="Calibri"/>
          <w:sz w:val="28"/>
          <w:szCs w:val="28"/>
        </w:rPr>
      </w:pPr>
    </w:p>
    <w:p w:rsidR="00B51749" w:rsidRPr="00F0732E" w:rsidRDefault="00B51749" w:rsidP="00B51749">
      <w:pPr>
        <w:pStyle w:val="Zkladntext2"/>
        <w:rPr>
          <w:rFonts w:ascii="Cambria" w:hAnsi="Cambria" w:cs="Calibri"/>
          <w:sz w:val="28"/>
          <w:szCs w:val="28"/>
        </w:rPr>
      </w:pPr>
      <w:r w:rsidRPr="00F0732E">
        <w:rPr>
          <w:rFonts w:ascii="Cambria" w:hAnsi="Cambria" w:cs="Calibri"/>
          <w:sz w:val="28"/>
          <w:szCs w:val="28"/>
        </w:rPr>
        <w:t>Okrem toho sa mobility študentov STU realizovali cez nasledovné programy:</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SvF:</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IAESTE: vyslaní 2 študenti, prijatí 2 študenti</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Akcia Rakúsko – Slovensko: vyslaní 4 študenti</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Leonardo Da Vinci: prijatý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Iné (freemovers): prijatí 11 študenti</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 xml:space="preserve">SjF: </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IAESTE: prijatý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Traineeship Agreement: prijatí 2 študenti</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lastRenderedPageBreak/>
        <w:t xml:space="preserve">FEI: </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bCs/>
          <w:sz w:val="28"/>
          <w:szCs w:val="28"/>
        </w:rPr>
        <w:t>Bilaterálna spolupráca s TU Ilmenau: vyslaný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bCs/>
          <w:sz w:val="28"/>
          <w:szCs w:val="28"/>
        </w:rPr>
        <w:t>Dvojstranná dohoda</w:t>
      </w:r>
      <w:r w:rsidRPr="00F0732E">
        <w:rPr>
          <w:rFonts w:ascii="Cambria" w:hAnsi="Cambria" w:cs="Calibri"/>
          <w:sz w:val="28"/>
          <w:szCs w:val="28"/>
        </w:rPr>
        <w:t xml:space="preserve"> medzi Fakultou prírodných vied BUTE Budapešť a FEI STU: vyslaných 10 študentov, prijatí 7 študenti</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bCs/>
          <w:sz w:val="28"/>
          <w:szCs w:val="28"/>
        </w:rPr>
        <w:t>Dvojstranná dohoda</w:t>
      </w:r>
      <w:r w:rsidRPr="00F0732E">
        <w:rPr>
          <w:rFonts w:ascii="Cambria" w:hAnsi="Cambria" w:cs="Calibri"/>
          <w:b/>
          <w:bCs/>
          <w:sz w:val="28"/>
          <w:szCs w:val="28"/>
        </w:rPr>
        <w:t xml:space="preserve"> </w:t>
      </w:r>
      <w:r w:rsidRPr="00F0732E">
        <w:rPr>
          <w:rFonts w:ascii="Cambria" w:hAnsi="Cambria" w:cs="Calibri"/>
          <w:sz w:val="28"/>
          <w:szCs w:val="28"/>
        </w:rPr>
        <w:t>medzi FJFI ČVUT v Prahe a FEI STU: prijatí 5 študenti</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 xml:space="preserve">FCHPT: </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IAESTE: vyslaní 2 študenti, prijatý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Akcia Rakúsko – Slovensko:  vyslaný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Bilaterálna spolupráca SR – Maďarsko: vyslaný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Iné (freemovers): vyslaní 3 študenti</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 xml:space="preserve">FA: </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Akcia Rakúsko – Slovensko: vyslaný 1 študent</w:t>
      </w:r>
    </w:p>
    <w:p w:rsidR="00B51749" w:rsidRPr="00F0732E" w:rsidRDefault="00B51749" w:rsidP="00B51749">
      <w:pPr>
        <w:pStyle w:val="Zkladntext2"/>
        <w:numPr>
          <w:ilvl w:val="0"/>
          <w:numId w:val="22"/>
        </w:numPr>
        <w:rPr>
          <w:rFonts w:ascii="Cambria" w:hAnsi="Cambria" w:cs="Calibri"/>
          <w:sz w:val="28"/>
          <w:szCs w:val="28"/>
        </w:rPr>
      </w:pPr>
      <w:r w:rsidRPr="00F0732E">
        <w:rPr>
          <w:rFonts w:ascii="Cambria" w:hAnsi="Cambria" w:cs="Calibri"/>
          <w:sz w:val="28"/>
          <w:szCs w:val="28"/>
        </w:rPr>
        <w:t>Štipendium Ministerstva školstva ČR: vyslaný 1 študent</w:t>
      </w: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MTF:</w:t>
      </w:r>
    </w:p>
    <w:p w:rsidR="00B51749" w:rsidRPr="00F0732E" w:rsidRDefault="00B51749" w:rsidP="00B51749">
      <w:pPr>
        <w:pStyle w:val="Zkladntext2"/>
        <w:numPr>
          <w:ilvl w:val="0"/>
          <w:numId w:val="23"/>
        </w:numPr>
        <w:rPr>
          <w:rFonts w:ascii="Cambria" w:hAnsi="Cambria" w:cs="Calibri"/>
          <w:sz w:val="28"/>
          <w:szCs w:val="28"/>
        </w:rPr>
      </w:pPr>
      <w:r w:rsidRPr="00F0732E">
        <w:rPr>
          <w:rFonts w:ascii="Cambria" w:hAnsi="Cambria" w:cs="Calibri"/>
          <w:sz w:val="28"/>
          <w:szCs w:val="28"/>
        </w:rPr>
        <w:t>VELUX Scholarship Programme: vyslaných 7 študentov</w:t>
      </w:r>
    </w:p>
    <w:p w:rsidR="00B51749" w:rsidRPr="00F0732E" w:rsidRDefault="00B51749" w:rsidP="00B51749">
      <w:pPr>
        <w:pStyle w:val="Zkladntext2"/>
        <w:numPr>
          <w:ilvl w:val="0"/>
          <w:numId w:val="23"/>
        </w:numPr>
        <w:rPr>
          <w:rFonts w:ascii="Cambria" w:hAnsi="Cambria" w:cs="Calibri"/>
          <w:sz w:val="28"/>
          <w:szCs w:val="28"/>
        </w:rPr>
      </w:pPr>
      <w:r w:rsidRPr="00F0732E">
        <w:rPr>
          <w:rFonts w:ascii="Cambria" w:hAnsi="Cambria" w:cs="Calibri"/>
          <w:sz w:val="28"/>
          <w:szCs w:val="28"/>
        </w:rPr>
        <w:t>projekt STU – TU Ilmenau IPID: vyslaný 1 študent</w:t>
      </w:r>
    </w:p>
    <w:p w:rsidR="00B51749" w:rsidRPr="00F0732E" w:rsidRDefault="00B51749" w:rsidP="00B51749">
      <w:pPr>
        <w:pStyle w:val="Zkladntext2"/>
        <w:rPr>
          <w:rFonts w:ascii="Cambria" w:hAnsi="Cambria" w:cs="Calibri"/>
          <w:sz w:val="28"/>
          <w:szCs w:val="28"/>
        </w:rPr>
      </w:pPr>
    </w:p>
    <w:p w:rsidR="00B51749" w:rsidRPr="00F0732E" w:rsidRDefault="00B51749" w:rsidP="00B51749">
      <w:pPr>
        <w:pStyle w:val="Zkladntext2"/>
        <w:rPr>
          <w:rFonts w:ascii="Cambria" w:hAnsi="Cambria" w:cs="Calibri"/>
          <w:sz w:val="28"/>
          <w:szCs w:val="28"/>
        </w:rPr>
      </w:pPr>
      <w:r w:rsidRPr="00F0732E">
        <w:rPr>
          <w:rFonts w:ascii="Cambria" w:hAnsi="Cambria" w:cs="Calibri"/>
          <w:sz w:val="28"/>
          <w:szCs w:val="28"/>
        </w:rPr>
        <w:t xml:space="preserve">Najväčšie množstvo medzinárodných mobilít zrealizovala STU cez program </w:t>
      </w:r>
      <w:r w:rsidRPr="00F0732E">
        <w:rPr>
          <w:rFonts w:ascii="Cambria" w:hAnsi="Cambria" w:cs="Calibri"/>
          <w:b/>
          <w:sz w:val="28"/>
          <w:szCs w:val="28"/>
        </w:rPr>
        <w:t xml:space="preserve">Erasmus </w:t>
      </w:r>
      <w:r w:rsidR="00BE4256">
        <w:rPr>
          <w:rFonts w:ascii="Cambria" w:hAnsi="Cambria" w:cs="Calibri"/>
          <w:b/>
          <w:sz w:val="28"/>
          <w:szCs w:val="28"/>
        </w:rPr>
        <w:t>–</w:t>
      </w:r>
      <w:r w:rsidRPr="00F0732E">
        <w:rPr>
          <w:rFonts w:ascii="Cambria" w:hAnsi="Cambria" w:cs="Calibri"/>
          <w:b/>
          <w:sz w:val="28"/>
          <w:szCs w:val="28"/>
        </w:rPr>
        <w:t xml:space="preserve"> Mobilities</w:t>
      </w:r>
      <w:r w:rsidRPr="00F0732E">
        <w:rPr>
          <w:rFonts w:ascii="Cambria" w:hAnsi="Cambria" w:cs="Calibri"/>
          <w:sz w:val="28"/>
          <w:szCs w:val="28"/>
        </w:rPr>
        <w:t xml:space="preserve">. V roku 2013/2014 STU vyslala a prijala v rámci tohto programu </w:t>
      </w:r>
      <w:r w:rsidRPr="00F0732E">
        <w:rPr>
          <w:rFonts w:ascii="Cambria" w:hAnsi="Cambria" w:cs="Calibri"/>
          <w:b/>
          <w:sz w:val="28"/>
          <w:szCs w:val="28"/>
        </w:rPr>
        <w:t>319 študentov.</w:t>
      </w:r>
      <w:r w:rsidRPr="00F0732E">
        <w:rPr>
          <w:rFonts w:ascii="Cambria" w:hAnsi="Cambria" w:cs="Calibri"/>
          <w:sz w:val="28"/>
          <w:szCs w:val="28"/>
        </w:rPr>
        <w:t xml:space="preserve">  Prehľad Erasmus mobilít za posledných 5 rokov je uvedený v </w:t>
      </w:r>
      <w:r w:rsidR="0067123B">
        <w:rPr>
          <w:rFonts w:ascii="Cambria" w:hAnsi="Cambria" w:cs="Calibri"/>
          <w:sz w:val="28"/>
          <w:szCs w:val="28"/>
        </w:rPr>
        <w:t>T</w:t>
      </w:r>
      <w:r w:rsidRPr="00F0732E">
        <w:rPr>
          <w:rFonts w:ascii="Cambria" w:hAnsi="Cambria" w:cs="Calibri"/>
          <w:sz w:val="28"/>
          <w:szCs w:val="28"/>
        </w:rPr>
        <w:t xml:space="preserve">abuľke </w:t>
      </w:r>
      <w:r w:rsidR="0067123B">
        <w:rPr>
          <w:rFonts w:ascii="Cambria" w:hAnsi="Cambria" w:cs="Calibri"/>
          <w:sz w:val="28"/>
          <w:szCs w:val="28"/>
        </w:rPr>
        <w:t>3.</w:t>
      </w:r>
      <w:r w:rsidRPr="00F0732E">
        <w:rPr>
          <w:rFonts w:ascii="Cambria" w:hAnsi="Cambria" w:cs="Calibri"/>
          <w:sz w:val="28"/>
          <w:szCs w:val="28"/>
        </w:rPr>
        <w:t>14</w:t>
      </w:r>
    </w:p>
    <w:p w:rsidR="00B51749" w:rsidRPr="00F0732E" w:rsidRDefault="00B51749" w:rsidP="00B51749">
      <w:pPr>
        <w:rPr>
          <w:b/>
          <w:sz w:val="28"/>
          <w:szCs w:val="28"/>
          <w:lang w:eastAsia="sk-SK"/>
        </w:rPr>
      </w:pPr>
    </w:p>
    <w:p w:rsidR="00B51749" w:rsidRPr="00F0732E" w:rsidRDefault="00B51749" w:rsidP="00B51749">
      <w:pPr>
        <w:rPr>
          <w:b/>
          <w:sz w:val="28"/>
          <w:szCs w:val="28"/>
          <w:lang w:eastAsia="sk-SK"/>
        </w:rPr>
      </w:pPr>
      <w:r w:rsidRPr="00F0732E">
        <w:rPr>
          <w:b/>
          <w:sz w:val="28"/>
          <w:szCs w:val="28"/>
          <w:lang w:eastAsia="sk-SK"/>
        </w:rPr>
        <w:t>Tabuľka 3.14: Vyslaní a prijatí Erasmus študenti STU, 2009 - 2014</w:t>
      </w:r>
    </w:p>
    <w:tbl>
      <w:tblPr>
        <w:tblW w:w="6701" w:type="dxa"/>
        <w:tblInd w:w="-110" w:type="dxa"/>
        <w:tblCellMar>
          <w:left w:w="70" w:type="dxa"/>
          <w:right w:w="70" w:type="dxa"/>
        </w:tblCellMar>
        <w:tblLook w:val="04A0" w:firstRow="1" w:lastRow="0" w:firstColumn="1" w:lastColumn="0" w:noHBand="0" w:noVBand="1"/>
      </w:tblPr>
      <w:tblGrid>
        <w:gridCol w:w="2023"/>
        <w:gridCol w:w="766"/>
        <w:gridCol w:w="960"/>
        <w:gridCol w:w="1534"/>
        <w:gridCol w:w="1418"/>
      </w:tblGrid>
      <w:tr w:rsidR="00B51749" w:rsidRPr="00F0732E" w:rsidTr="00447572">
        <w:trPr>
          <w:trHeight w:val="270"/>
        </w:trPr>
        <w:tc>
          <w:tcPr>
            <w:tcW w:w="20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1749" w:rsidRPr="00F0732E" w:rsidRDefault="00B51749" w:rsidP="00447572">
            <w:pPr>
              <w:ind w:firstLineChars="100" w:firstLine="281"/>
              <w:rPr>
                <w:rFonts w:eastAsia="Times New Roman" w:cs="Arial"/>
                <w:b/>
                <w:bCs/>
                <w:sz w:val="28"/>
                <w:szCs w:val="28"/>
                <w:lang w:eastAsia="sk-SK"/>
              </w:rPr>
            </w:pPr>
            <w:r w:rsidRPr="00F0732E">
              <w:rPr>
                <w:rFonts w:eastAsia="Times New Roman" w:cs="Arial"/>
                <w:b/>
                <w:bCs/>
                <w:sz w:val="28"/>
                <w:szCs w:val="28"/>
                <w:lang w:eastAsia="sk-SK"/>
              </w:rPr>
              <w:t>akad. rok</w:t>
            </w:r>
          </w:p>
        </w:tc>
        <w:tc>
          <w:tcPr>
            <w:tcW w:w="1726" w:type="dxa"/>
            <w:gridSpan w:val="2"/>
            <w:tcBorders>
              <w:top w:val="single" w:sz="8" w:space="0" w:color="000000"/>
              <w:left w:val="nil"/>
              <w:bottom w:val="single" w:sz="8" w:space="0" w:color="000000"/>
              <w:right w:val="single" w:sz="8" w:space="0" w:color="000000"/>
            </w:tcBorders>
            <w:shd w:val="clear" w:color="auto" w:fill="auto"/>
            <w:vAlign w:val="center"/>
            <w:hideMark/>
          </w:tcPr>
          <w:p w:rsidR="00B51749" w:rsidRPr="00F0732E" w:rsidRDefault="00B51749" w:rsidP="00447572">
            <w:pPr>
              <w:ind w:firstLineChars="200" w:firstLine="562"/>
              <w:rPr>
                <w:rFonts w:eastAsia="Times New Roman" w:cs="Arial"/>
                <w:b/>
                <w:bCs/>
                <w:sz w:val="28"/>
                <w:szCs w:val="28"/>
                <w:lang w:eastAsia="sk-SK"/>
              </w:rPr>
            </w:pPr>
            <w:r w:rsidRPr="00F0732E">
              <w:rPr>
                <w:rFonts w:eastAsia="Times New Roman" w:cs="Arial"/>
                <w:b/>
                <w:bCs/>
                <w:sz w:val="28"/>
                <w:szCs w:val="28"/>
                <w:lang w:eastAsia="sk-SK"/>
              </w:rPr>
              <w:t>vyslaní</w:t>
            </w:r>
          </w:p>
        </w:tc>
        <w:tc>
          <w:tcPr>
            <w:tcW w:w="1534" w:type="dxa"/>
            <w:tcBorders>
              <w:top w:val="single" w:sz="8" w:space="0" w:color="000000"/>
              <w:left w:val="nil"/>
              <w:bottom w:val="single" w:sz="8" w:space="0" w:color="000000"/>
              <w:right w:val="single" w:sz="8" w:space="0" w:color="000000"/>
            </w:tcBorders>
            <w:shd w:val="clear" w:color="auto" w:fill="auto"/>
            <w:vAlign w:val="center"/>
            <w:hideMark/>
          </w:tcPr>
          <w:p w:rsidR="00B51749" w:rsidRPr="00F0732E" w:rsidRDefault="00B51749" w:rsidP="00447572">
            <w:pPr>
              <w:ind w:firstLineChars="200" w:firstLine="562"/>
              <w:rPr>
                <w:rFonts w:eastAsia="Times New Roman" w:cs="Arial"/>
                <w:b/>
                <w:bCs/>
                <w:sz w:val="28"/>
                <w:szCs w:val="28"/>
                <w:lang w:eastAsia="sk-SK"/>
              </w:rPr>
            </w:pPr>
            <w:r w:rsidRPr="00F0732E">
              <w:rPr>
                <w:rFonts w:eastAsia="Times New Roman" w:cs="Arial"/>
                <w:b/>
                <w:bCs/>
                <w:sz w:val="28"/>
                <w:szCs w:val="28"/>
                <w:lang w:eastAsia="sk-SK"/>
              </w:rPr>
              <w:t>prijatí</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B51749" w:rsidRPr="00F0732E" w:rsidRDefault="00B51749" w:rsidP="00447572">
            <w:pPr>
              <w:ind w:firstLineChars="200" w:firstLine="562"/>
              <w:rPr>
                <w:rFonts w:eastAsia="Times New Roman" w:cs="Arial"/>
                <w:b/>
                <w:bCs/>
                <w:sz w:val="28"/>
                <w:szCs w:val="28"/>
                <w:lang w:eastAsia="sk-SK"/>
              </w:rPr>
            </w:pPr>
            <w:r w:rsidRPr="00F0732E">
              <w:rPr>
                <w:rFonts w:eastAsia="Times New Roman" w:cs="Arial"/>
                <w:b/>
                <w:bCs/>
                <w:sz w:val="28"/>
                <w:szCs w:val="28"/>
                <w:lang w:eastAsia="sk-SK"/>
              </w:rPr>
              <w:t>spolu</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auto" w:fill="auto"/>
            <w:vAlign w:val="center"/>
            <w:hideMark/>
          </w:tcPr>
          <w:p w:rsidR="00151FA7" w:rsidRPr="00F0732E" w:rsidRDefault="00151FA7" w:rsidP="00447572">
            <w:pPr>
              <w:ind w:firstLineChars="100" w:firstLine="280"/>
              <w:rPr>
                <w:rFonts w:eastAsia="Times New Roman" w:cs="Arial"/>
                <w:sz w:val="28"/>
                <w:szCs w:val="28"/>
                <w:lang w:eastAsia="sk-SK"/>
              </w:rPr>
            </w:pPr>
            <w:r w:rsidRPr="00F0732E">
              <w:rPr>
                <w:rFonts w:eastAsia="Times New Roman" w:cs="Arial"/>
                <w:sz w:val="28"/>
                <w:szCs w:val="28"/>
                <w:lang w:eastAsia="sk-SK"/>
              </w:rPr>
              <w:t>2009/2010</w:t>
            </w:r>
          </w:p>
        </w:tc>
        <w:tc>
          <w:tcPr>
            <w:tcW w:w="1726" w:type="dxa"/>
            <w:gridSpan w:val="2"/>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135</w:t>
            </w:r>
          </w:p>
        </w:tc>
        <w:tc>
          <w:tcPr>
            <w:tcW w:w="1534"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42</w:t>
            </w:r>
          </w:p>
        </w:tc>
        <w:tc>
          <w:tcPr>
            <w:tcW w:w="1418"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177</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auto" w:fill="auto"/>
            <w:vAlign w:val="center"/>
            <w:hideMark/>
          </w:tcPr>
          <w:p w:rsidR="00151FA7" w:rsidRPr="00F0732E" w:rsidRDefault="00151FA7" w:rsidP="00447572">
            <w:pPr>
              <w:ind w:firstLineChars="100" w:firstLine="280"/>
              <w:rPr>
                <w:rFonts w:eastAsia="Times New Roman" w:cs="Arial"/>
                <w:sz w:val="28"/>
                <w:szCs w:val="28"/>
                <w:lang w:eastAsia="sk-SK"/>
              </w:rPr>
            </w:pPr>
            <w:r w:rsidRPr="00F0732E">
              <w:rPr>
                <w:rFonts w:eastAsia="Times New Roman" w:cs="Arial"/>
                <w:sz w:val="28"/>
                <w:szCs w:val="28"/>
                <w:lang w:eastAsia="sk-SK"/>
              </w:rPr>
              <w:t>2010/2011</w:t>
            </w:r>
          </w:p>
        </w:tc>
        <w:tc>
          <w:tcPr>
            <w:tcW w:w="1726" w:type="dxa"/>
            <w:gridSpan w:val="2"/>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123</w:t>
            </w:r>
          </w:p>
        </w:tc>
        <w:tc>
          <w:tcPr>
            <w:tcW w:w="1534"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45</w:t>
            </w:r>
          </w:p>
        </w:tc>
        <w:tc>
          <w:tcPr>
            <w:tcW w:w="1418"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168</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auto" w:fill="auto"/>
            <w:vAlign w:val="center"/>
            <w:hideMark/>
          </w:tcPr>
          <w:p w:rsidR="00151FA7" w:rsidRPr="00F0732E" w:rsidRDefault="00151FA7" w:rsidP="00447572">
            <w:pPr>
              <w:ind w:firstLineChars="100" w:firstLine="280"/>
              <w:rPr>
                <w:rFonts w:eastAsia="Times New Roman" w:cs="Arial"/>
                <w:sz w:val="28"/>
                <w:szCs w:val="28"/>
                <w:lang w:eastAsia="sk-SK"/>
              </w:rPr>
            </w:pPr>
            <w:r w:rsidRPr="00F0732E">
              <w:rPr>
                <w:rFonts w:eastAsia="Times New Roman" w:cs="Arial"/>
                <w:sz w:val="28"/>
                <w:szCs w:val="28"/>
                <w:lang w:eastAsia="sk-SK"/>
              </w:rPr>
              <w:t>2011/2012</w:t>
            </w:r>
          </w:p>
        </w:tc>
        <w:tc>
          <w:tcPr>
            <w:tcW w:w="1726" w:type="dxa"/>
            <w:gridSpan w:val="2"/>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176</w:t>
            </w:r>
          </w:p>
        </w:tc>
        <w:tc>
          <w:tcPr>
            <w:tcW w:w="1534"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57</w:t>
            </w:r>
          </w:p>
        </w:tc>
        <w:tc>
          <w:tcPr>
            <w:tcW w:w="1418" w:type="dxa"/>
            <w:tcBorders>
              <w:top w:val="nil"/>
              <w:left w:val="nil"/>
              <w:bottom w:val="single" w:sz="8" w:space="0" w:color="000000"/>
              <w:right w:val="single" w:sz="8" w:space="0" w:color="000000"/>
            </w:tcBorders>
            <w:shd w:val="clear" w:color="auto" w:fill="auto"/>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233</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000000" w:fill="FFFFFF"/>
            <w:vAlign w:val="center"/>
            <w:hideMark/>
          </w:tcPr>
          <w:p w:rsidR="00151FA7" w:rsidRPr="00F0732E" w:rsidRDefault="00151FA7" w:rsidP="00447572">
            <w:pPr>
              <w:ind w:firstLineChars="100" w:firstLine="280"/>
              <w:rPr>
                <w:rFonts w:eastAsia="Times New Roman" w:cs="Arial"/>
                <w:sz w:val="28"/>
                <w:szCs w:val="28"/>
                <w:lang w:eastAsia="sk-SK"/>
              </w:rPr>
            </w:pPr>
            <w:r w:rsidRPr="00F0732E">
              <w:rPr>
                <w:rFonts w:eastAsia="Times New Roman" w:cs="Arial"/>
                <w:sz w:val="28"/>
                <w:szCs w:val="28"/>
                <w:lang w:eastAsia="sk-SK"/>
              </w:rPr>
              <w:t>2012/2013</w:t>
            </w:r>
          </w:p>
        </w:tc>
        <w:tc>
          <w:tcPr>
            <w:tcW w:w="1726" w:type="dxa"/>
            <w:gridSpan w:val="2"/>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192</w:t>
            </w:r>
          </w:p>
        </w:tc>
        <w:tc>
          <w:tcPr>
            <w:tcW w:w="1534" w:type="dxa"/>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76</w:t>
            </w:r>
          </w:p>
        </w:tc>
        <w:tc>
          <w:tcPr>
            <w:tcW w:w="1418" w:type="dxa"/>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sz w:val="28"/>
                <w:szCs w:val="28"/>
              </w:rPr>
            </w:pPr>
            <w:r w:rsidRPr="00151FA7">
              <w:rPr>
                <w:rFonts w:asciiTheme="majorHAnsi" w:hAnsiTheme="majorHAnsi"/>
                <w:sz w:val="28"/>
                <w:szCs w:val="28"/>
              </w:rPr>
              <w:t>268</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000000" w:fill="FFFFFF"/>
            <w:vAlign w:val="center"/>
            <w:hideMark/>
          </w:tcPr>
          <w:p w:rsidR="00151FA7" w:rsidRPr="00F0732E" w:rsidRDefault="00151FA7" w:rsidP="00447572">
            <w:pPr>
              <w:ind w:firstLineChars="100" w:firstLine="281"/>
              <w:rPr>
                <w:rFonts w:eastAsia="Times New Roman" w:cs="Arial"/>
                <w:b/>
                <w:bCs/>
                <w:sz w:val="28"/>
                <w:szCs w:val="28"/>
                <w:lang w:eastAsia="sk-SK"/>
              </w:rPr>
            </w:pPr>
            <w:r w:rsidRPr="00F0732E">
              <w:rPr>
                <w:rFonts w:eastAsia="Times New Roman" w:cs="Arial"/>
                <w:b/>
                <w:bCs/>
                <w:sz w:val="28"/>
                <w:szCs w:val="28"/>
                <w:lang w:eastAsia="sk-SK"/>
              </w:rPr>
              <w:t>2013/2014</w:t>
            </w:r>
          </w:p>
        </w:tc>
        <w:tc>
          <w:tcPr>
            <w:tcW w:w="1726" w:type="dxa"/>
            <w:gridSpan w:val="2"/>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bCs/>
                <w:sz w:val="28"/>
                <w:szCs w:val="28"/>
              </w:rPr>
            </w:pPr>
            <w:r w:rsidRPr="00151FA7">
              <w:rPr>
                <w:rFonts w:asciiTheme="majorHAnsi" w:hAnsiTheme="majorHAnsi"/>
                <w:bCs/>
                <w:sz w:val="28"/>
                <w:szCs w:val="28"/>
              </w:rPr>
              <w:t>230</w:t>
            </w:r>
          </w:p>
        </w:tc>
        <w:tc>
          <w:tcPr>
            <w:tcW w:w="1534" w:type="dxa"/>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bCs/>
                <w:sz w:val="28"/>
                <w:szCs w:val="28"/>
              </w:rPr>
            </w:pPr>
            <w:r w:rsidRPr="00151FA7">
              <w:rPr>
                <w:rFonts w:asciiTheme="majorHAnsi" w:hAnsiTheme="majorHAnsi"/>
                <w:bCs/>
                <w:sz w:val="28"/>
                <w:szCs w:val="28"/>
              </w:rPr>
              <w:t>89</w:t>
            </w:r>
          </w:p>
        </w:tc>
        <w:tc>
          <w:tcPr>
            <w:tcW w:w="1418" w:type="dxa"/>
            <w:tcBorders>
              <w:top w:val="nil"/>
              <w:left w:val="nil"/>
              <w:bottom w:val="single" w:sz="8" w:space="0" w:color="000000"/>
              <w:right w:val="single" w:sz="8" w:space="0" w:color="000000"/>
            </w:tcBorders>
            <w:shd w:val="clear" w:color="000000" w:fill="FFFFFF"/>
            <w:vAlign w:val="center"/>
            <w:hideMark/>
          </w:tcPr>
          <w:p w:rsidR="00151FA7" w:rsidRPr="00151FA7" w:rsidRDefault="00151FA7" w:rsidP="00151FA7">
            <w:pPr>
              <w:jc w:val="center"/>
              <w:rPr>
                <w:rFonts w:asciiTheme="majorHAnsi" w:hAnsiTheme="majorHAnsi"/>
                <w:bCs/>
                <w:sz w:val="28"/>
                <w:szCs w:val="28"/>
              </w:rPr>
            </w:pPr>
            <w:r w:rsidRPr="00151FA7">
              <w:rPr>
                <w:rFonts w:asciiTheme="majorHAnsi" w:hAnsiTheme="majorHAnsi"/>
                <w:bCs/>
                <w:sz w:val="28"/>
                <w:szCs w:val="28"/>
              </w:rPr>
              <w:t>319</w:t>
            </w:r>
          </w:p>
        </w:tc>
      </w:tr>
      <w:tr w:rsidR="00151FA7" w:rsidRPr="00F0732E" w:rsidTr="00447572">
        <w:trPr>
          <w:trHeight w:val="270"/>
        </w:trPr>
        <w:tc>
          <w:tcPr>
            <w:tcW w:w="2023" w:type="dxa"/>
            <w:tcBorders>
              <w:top w:val="nil"/>
              <w:left w:val="single" w:sz="8" w:space="0" w:color="000000"/>
              <w:bottom w:val="single" w:sz="8" w:space="0" w:color="000000"/>
              <w:right w:val="single" w:sz="8" w:space="0" w:color="000000"/>
            </w:tcBorders>
            <w:shd w:val="clear" w:color="auto" w:fill="D9D9D9"/>
            <w:vAlign w:val="center"/>
            <w:hideMark/>
          </w:tcPr>
          <w:p w:rsidR="00151FA7" w:rsidRPr="00F0732E" w:rsidRDefault="00151FA7" w:rsidP="00447572">
            <w:pPr>
              <w:ind w:firstLineChars="100" w:firstLine="281"/>
              <w:rPr>
                <w:rFonts w:eastAsia="Times New Roman" w:cs="Arial"/>
                <w:b/>
                <w:bCs/>
                <w:sz w:val="28"/>
                <w:szCs w:val="28"/>
                <w:lang w:eastAsia="sk-SK"/>
              </w:rPr>
            </w:pPr>
            <w:r w:rsidRPr="00F0732E">
              <w:rPr>
                <w:rFonts w:eastAsia="Times New Roman" w:cs="Arial"/>
                <w:b/>
                <w:bCs/>
                <w:sz w:val="28"/>
                <w:szCs w:val="28"/>
                <w:lang w:eastAsia="sk-SK"/>
              </w:rPr>
              <w:t>Spolu</w:t>
            </w:r>
          </w:p>
        </w:tc>
        <w:tc>
          <w:tcPr>
            <w:tcW w:w="1726" w:type="dxa"/>
            <w:gridSpan w:val="2"/>
            <w:tcBorders>
              <w:top w:val="nil"/>
              <w:left w:val="nil"/>
              <w:bottom w:val="single" w:sz="8" w:space="0" w:color="000000"/>
              <w:right w:val="single" w:sz="8" w:space="0" w:color="000000"/>
            </w:tcBorders>
            <w:shd w:val="clear" w:color="auto" w:fill="D9D9D9"/>
            <w:vAlign w:val="center"/>
            <w:hideMark/>
          </w:tcPr>
          <w:p w:rsidR="00151FA7" w:rsidRPr="00151FA7" w:rsidRDefault="00151FA7" w:rsidP="00151FA7">
            <w:pPr>
              <w:jc w:val="center"/>
              <w:rPr>
                <w:rFonts w:asciiTheme="majorHAnsi" w:hAnsiTheme="majorHAnsi"/>
                <w:b/>
                <w:bCs/>
                <w:sz w:val="28"/>
                <w:szCs w:val="28"/>
              </w:rPr>
            </w:pPr>
            <w:r w:rsidRPr="00151FA7">
              <w:rPr>
                <w:rFonts w:asciiTheme="majorHAnsi" w:hAnsiTheme="majorHAnsi"/>
                <w:b/>
                <w:bCs/>
                <w:sz w:val="28"/>
                <w:szCs w:val="28"/>
              </w:rPr>
              <w:t>856</w:t>
            </w:r>
          </w:p>
        </w:tc>
        <w:tc>
          <w:tcPr>
            <w:tcW w:w="1534" w:type="dxa"/>
            <w:tcBorders>
              <w:top w:val="nil"/>
              <w:left w:val="nil"/>
              <w:bottom w:val="single" w:sz="8" w:space="0" w:color="000000"/>
              <w:right w:val="single" w:sz="8" w:space="0" w:color="000000"/>
            </w:tcBorders>
            <w:shd w:val="clear" w:color="auto" w:fill="D9D9D9"/>
            <w:vAlign w:val="center"/>
            <w:hideMark/>
          </w:tcPr>
          <w:p w:rsidR="00151FA7" w:rsidRPr="00151FA7" w:rsidRDefault="00151FA7" w:rsidP="00151FA7">
            <w:pPr>
              <w:jc w:val="center"/>
              <w:rPr>
                <w:rFonts w:asciiTheme="majorHAnsi" w:hAnsiTheme="majorHAnsi"/>
                <w:b/>
                <w:bCs/>
                <w:sz w:val="28"/>
                <w:szCs w:val="28"/>
              </w:rPr>
            </w:pPr>
            <w:r w:rsidRPr="00151FA7">
              <w:rPr>
                <w:rFonts w:asciiTheme="majorHAnsi" w:hAnsiTheme="majorHAnsi"/>
                <w:b/>
                <w:bCs/>
                <w:sz w:val="28"/>
                <w:szCs w:val="28"/>
              </w:rPr>
              <w:t>309</w:t>
            </w:r>
          </w:p>
        </w:tc>
        <w:tc>
          <w:tcPr>
            <w:tcW w:w="1418" w:type="dxa"/>
            <w:tcBorders>
              <w:top w:val="nil"/>
              <w:left w:val="nil"/>
              <w:bottom w:val="single" w:sz="8" w:space="0" w:color="000000"/>
              <w:right w:val="single" w:sz="8" w:space="0" w:color="000000"/>
            </w:tcBorders>
            <w:shd w:val="clear" w:color="auto" w:fill="D9D9D9"/>
            <w:vAlign w:val="center"/>
            <w:hideMark/>
          </w:tcPr>
          <w:p w:rsidR="00151FA7" w:rsidRPr="00151FA7" w:rsidRDefault="00151FA7" w:rsidP="00151FA7">
            <w:pPr>
              <w:jc w:val="center"/>
              <w:rPr>
                <w:rFonts w:asciiTheme="majorHAnsi" w:hAnsiTheme="majorHAnsi"/>
                <w:b/>
                <w:bCs/>
                <w:sz w:val="28"/>
                <w:szCs w:val="28"/>
              </w:rPr>
            </w:pPr>
            <w:r w:rsidRPr="00151FA7">
              <w:rPr>
                <w:rFonts w:asciiTheme="majorHAnsi" w:hAnsiTheme="majorHAnsi"/>
                <w:b/>
                <w:bCs/>
                <w:sz w:val="28"/>
                <w:szCs w:val="28"/>
              </w:rPr>
              <w:t>1165</w:t>
            </w:r>
          </w:p>
        </w:tc>
      </w:tr>
      <w:tr w:rsidR="00B51749" w:rsidRPr="00F0732E" w:rsidTr="00447572">
        <w:trPr>
          <w:trHeight w:val="255"/>
        </w:trPr>
        <w:tc>
          <w:tcPr>
            <w:tcW w:w="2023" w:type="dxa"/>
            <w:tcBorders>
              <w:top w:val="nil"/>
              <w:left w:val="nil"/>
              <w:bottom w:val="nil"/>
              <w:right w:val="nil"/>
            </w:tcBorders>
            <w:shd w:val="clear" w:color="auto" w:fill="auto"/>
            <w:noWrap/>
            <w:vAlign w:val="bottom"/>
            <w:hideMark/>
          </w:tcPr>
          <w:p w:rsidR="00B51749" w:rsidRPr="00F0732E" w:rsidRDefault="00B51749" w:rsidP="00447572">
            <w:pPr>
              <w:rPr>
                <w:rFonts w:eastAsia="Times New Roman" w:cs="Arial"/>
                <w:sz w:val="28"/>
                <w:szCs w:val="28"/>
                <w:lang w:eastAsia="sk-SK"/>
              </w:rPr>
            </w:pPr>
          </w:p>
        </w:tc>
        <w:tc>
          <w:tcPr>
            <w:tcW w:w="766" w:type="dxa"/>
            <w:tcBorders>
              <w:top w:val="nil"/>
              <w:left w:val="nil"/>
              <w:bottom w:val="nil"/>
              <w:right w:val="nil"/>
            </w:tcBorders>
            <w:shd w:val="clear" w:color="auto" w:fill="auto"/>
            <w:noWrap/>
            <w:vAlign w:val="bottom"/>
            <w:hideMark/>
          </w:tcPr>
          <w:p w:rsidR="00B51749" w:rsidRPr="00F0732E" w:rsidRDefault="00B51749" w:rsidP="00447572">
            <w:pPr>
              <w:rPr>
                <w:rFonts w:eastAsia="Times New Roman" w:cs="Arial"/>
                <w:sz w:val="28"/>
                <w:szCs w:val="28"/>
                <w:lang w:eastAsia="sk-SK"/>
              </w:rPr>
            </w:pPr>
          </w:p>
        </w:tc>
        <w:tc>
          <w:tcPr>
            <w:tcW w:w="960" w:type="dxa"/>
            <w:tcBorders>
              <w:top w:val="nil"/>
              <w:left w:val="nil"/>
              <w:bottom w:val="nil"/>
              <w:right w:val="nil"/>
            </w:tcBorders>
            <w:shd w:val="clear" w:color="auto" w:fill="auto"/>
            <w:noWrap/>
            <w:vAlign w:val="bottom"/>
            <w:hideMark/>
          </w:tcPr>
          <w:p w:rsidR="00B51749" w:rsidRPr="00F0732E" w:rsidRDefault="00B51749" w:rsidP="00447572">
            <w:pPr>
              <w:rPr>
                <w:rFonts w:eastAsia="Times New Roman" w:cs="Arial"/>
                <w:sz w:val="28"/>
                <w:szCs w:val="28"/>
                <w:lang w:eastAsia="sk-SK"/>
              </w:rPr>
            </w:pPr>
          </w:p>
        </w:tc>
        <w:tc>
          <w:tcPr>
            <w:tcW w:w="2952" w:type="dxa"/>
            <w:gridSpan w:val="2"/>
            <w:tcBorders>
              <w:top w:val="nil"/>
              <w:left w:val="nil"/>
              <w:bottom w:val="nil"/>
              <w:right w:val="nil"/>
            </w:tcBorders>
            <w:shd w:val="clear" w:color="auto" w:fill="auto"/>
            <w:noWrap/>
            <w:vAlign w:val="bottom"/>
            <w:hideMark/>
          </w:tcPr>
          <w:p w:rsidR="00B51749" w:rsidRPr="00F0732E" w:rsidRDefault="00B51749" w:rsidP="00447572">
            <w:pPr>
              <w:rPr>
                <w:rFonts w:eastAsia="Times New Roman" w:cs="Arial"/>
                <w:sz w:val="28"/>
                <w:szCs w:val="28"/>
                <w:lang w:eastAsia="sk-SK"/>
              </w:rPr>
            </w:pPr>
          </w:p>
        </w:tc>
      </w:tr>
    </w:tbl>
    <w:p w:rsidR="00B51749" w:rsidRPr="00F0732E" w:rsidRDefault="00B51749" w:rsidP="00B51749">
      <w:pPr>
        <w:rPr>
          <w:rFonts w:cs="Calibri"/>
          <w:sz w:val="28"/>
          <w:szCs w:val="28"/>
        </w:rPr>
      </w:pPr>
    </w:p>
    <w:p w:rsidR="00B51749" w:rsidRPr="00F0732E" w:rsidRDefault="00B51749" w:rsidP="00B51749">
      <w:pPr>
        <w:pStyle w:val="Zkladntext2"/>
        <w:rPr>
          <w:rFonts w:ascii="Cambria" w:hAnsi="Cambria" w:cs="Calibri"/>
          <w:sz w:val="28"/>
          <w:szCs w:val="28"/>
        </w:rPr>
      </w:pPr>
      <w:r w:rsidRPr="00F0732E">
        <w:rPr>
          <w:rFonts w:ascii="Cambria" w:hAnsi="Cambria" w:cs="Calibri"/>
          <w:sz w:val="28"/>
          <w:szCs w:val="28"/>
        </w:rPr>
        <w:t>Percentuálne najvyšší počet vyslaných študentov z STU predstavujú študenti druhého stupňa štúdia (Graf 3.5).</w:t>
      </w:r>
    </w:p>
    <w:p w:rsidR="00B51749" w:rsidRPr="00F0732E" w:rsidRDefault="00B51749" w:rsidP="00B51749">
      <w:pPr>
        <w:pStyle w:val="Zkladntext2"/>
        <w:rPr>
          <w:rFonts w:ascii="Cambria" w:hAnsi="Cambria" w:cs="Calibri"/>
          <w:sz w:val="28"/>
          <w:szCs w:val="28"/>
        </w:rPr>
      </w:pPr>
    </w:p>
    <w:p w:rsidR="00B51749" w:rsidRPr="00F0732E" w:rsidRDefault="00B51749" w:rsidP="00B51749">
      <w:pPr>
        <w:pStyle w:val="Zkladntext2"/>
        <w:rPr>
          <w:rFonts w:ascii="Cambria" w:hAnsi="Cambria" w:cs="Calibri"/>
          <w:sz w:val="28"/>
          <w:szCs w:val="28"/>
        </w:rPr>
      </w:pPr>
    </w:p>
    <w:p w:rsidR="00B51749" w:rsidRPr="00F0732E" w:rsidRDefault="00B51749" w:rsidP="00B51749">
      <w:pPr>
        <w:pStyle w:val="Zkladntext2"/>
        <w:rPr>
          <w:rFonts w:ascii="Cambria" w:hAnsi="Cambria" w:cs="Calibri"/>
          <w:b/>
          <w:sz w:val="28"/>
          <w:szCs w:val="28"/>
        </w:rPr>
      </w:pPr>
      <w:r w:rsidRPr="00F0732E">
        <w:rPr>
          <w:rFonts w:ascii="Cambria" w:hAnsi="Cambria" w:cs="Calibri"/>
          <w:b/>
          <w:sz w:val="28"/>
          <w:szCs w:val="28"/>
        </w:rPr>
        <w:t>Graf 3.5: Percentuálne zastúpenie Erasmus mobilít (vyslaní študenti) podľa stupňa štúdia</w:t>
      </w:r>
    </w:p>
    <w:p w:rsidR="00B51749" w:rsidRPr="00F0732E" w:rsidRDefault="00B51749" w:rsidP="00B51749">
      <w:pPr>
        <w:pStyle w:val="Zkladntext2"/>
        <w:rPr>
          <w:rFonts w:ascii="Cambria" w:hAnsi="Cambria" w:cs="Calibri"/>
          <w:sz w:val="28"/>
          <w:szCs w:val="28"/>
        </w:rPr>
      </w:pPr>
    </w:p>
    <w:p w:rsidR="00B51749" w:rsidRPr="00F0732E" w:rsidRDefault="00B51749" w:rsidP="00B51749">
      <w:pPr>
        <w:pStyle w:val="Zkladntext2"/>
        <w:rPr>
          <w:rFonts w:ascii="Cambria" w:hAnsi="Cambria" w:cs="Calibri"/>
          <w:sz w:val="28"/>
          <w:szCs w:val="28"/>
        </w:rPr>
      </w:pPr>
      <w:r>
        <w:rPr>
          <w:rFonts w:ascii="Cambria" w:hAnsi="Cambria"/>
          <w:noProof/>
          <w:sz w:val="28"/>
          <w:szCs w:val="28"/>
          <w:lang w:eastAsia="sk-SK"/>
        </w:rPr>
        <w:lastRenderedPageBreak/>
        <w:drawing>
          <wp:inline distT="0" distB="0" distL="0" distR="0">
            <wp:extent cx="4605020" cy="2476500"/>
            <wp:effectExtent l="38100" t="0" r="5080" b="0"/>
            <wp:docPr id="39" name="Graf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1749" w:rsidRPr="00F0732E" w:rsidRDefault="00B51749" w:rsidP="00B51749">
      <w:pPr>
        <w:pStyle w:val="Zkladntext2"/>
        <w:rPr>
          <w:rFonts w:ascii="Cambria" w:hAnsi="Cambria" w:cs="Calibri"/>
          <w:sz w:val="28"/>
          <w:szCs w:val="28"/>
        </w:rPr>
      </w:pPr>
    </w:p>
    <w:p w:rsidR="0000089C" w:rsidRDefault="00B51749" w:rsidP="0000089C">
      <w:pPr>
        <w:pStyle w:val="Zkladntext2"/>
        <w:jc w:val="left"/>
        <w:rPr>
          <w:rFonts w:ascii="Cambria" w:hAnsi="Cambria" w:cs="Calibri"/>
          <w:sz w:val="28"/>
          <w:szCs w:val="28"/>
        </w:rPr>
      </w:pPr>
      <w:r w:rsidRPr="00F0732E">
        <w:rPr>
          <w:rFonts w:ascii="Cambria" w:hAnsi="Cambria" w:cs="Calibri"/>
          <w:sz w:val="28"/>
          <w:szCs w:val="28"/>
        </w:rPr>
        <w:t xml:space="preserve">Mobility Erasmus boli realizované v </w:t>
      </w:r>
      <w:r w:rsidRPr="00F0732E">
        <w:rPr>
          <w:rFonts w:ascii="Cambria" w:hAnsi="Cambria" w:cs="Calibri"/>
          <w:b/>
          <w:sz w:val="28"/>
          <w:szCs w:val="28"/>
        </w:rPr>
        <w:t>23</w:t>
      </w:r>
      <w:r w:rsidRPr="00F0732E">
        <w:rPr>
          <w:rFonts w:ascii="Cambria" w:hAnsi="Cambria" w:cs="Calibri"/>
          <w:sz w:val="28"/>
          <w:szCs w:val="28"/>
        </w:rPr>
        <w:t xml:space="preserve"> štátoch participujúcich v programe ako uvádza </w:t>
      </w:r>
      <w:r w:rsidR="0067123B">
        <w:rPr>
          <w:rFonts w:ascii="Cambria" w:hAnsi="Cambria" w:cs="Calibri"/>
          <w:sz w:val="28"/>
          <w:szCs w:val="28"/>
        </w:rPr>
        <w:t>G</w:t>
      </w:r>
      <w:r w:rsidRPr="00F0732E">
        <w:rPr>
          <w:rFonts w:ascii="Cambria" w:hAnsi="Cambria" w:cs="Calibri"/>
          <w:sz w:val="28"/>
          <w:szCs w:val="28"/>
        </w:rPr>
        <w:t>raf 3.6.</w:t>
      </w:r>
    </w:p>
    <w:p w:rsidR="0000089C" w:rsidRDefault="0000089C" w:rsidP="0000089C">
      <w:pPr>
        <w:pStyle w:val="Zkladntext2"/>
        <w:jc w:val="left"/>
        <w:rPr>
          <w:rFonts w:ascii="Cambria" w:hAnsi="Cambria" w:cs="Calibri"/>
          <w:sz w:val="28"/>
          <w:szCs w:val="28"/>
        </w:rPr>
      </w:pPr>
    </w:p>
    <w:p w:rsidR="00B51749" w:rsidRPr="0000089C" w:rsidRDefault="00B51749" w:rsidP="0000089C">
      <w:pPr>
        <w:pStyle w:val="Zkladntext2"/>
        <w:jc w:val="left"/>
        <w:rPr>
          <w:rFonts w:ascii="Cambria" w:hAnsi="Cambria" w:cs="Calibri"/>
          <w:sz w:val="28"/>
          <w:szCs w:val="28"/>
        </w:rPr>
      </w:pPr>
      <w:r w:rsidRPr="00F0732E">
        <w:rPr>
          <w:rFonts w:ascii="Cambria" w:hAnsi="Cambria" w:cs="Calibri"/>
          <w:b/>
          <w:sz w:val="28"/>
          <w:szCs w:val="28"/>
          <w:lang w:eastAsia="sk-SK"/>
        </w:rPr>
        <w:t>Graf 3.6: Vyslaní a prijatí Erasmus študenti v roku 2013/2014 podľa štátov</w:t>
      </w:r>
    </w:p>
    <w:p w:rsidR="00B51749" w:rsidRPr="00F0732E" w:rsidRDefault="00B51749" w:rsidP="00B51749">
      <w:pPr>
        <w:pStyle w:val="Zkladntext2"/>
        <w:rPr>
          <w:rFonts w:ascii="Cambria" w:hAnsi="Cambria"/>
          <w:sz w:val="28"/>
          <w:szCs w:val="28"/>
          <w:lang w:eastAsia="sk-SK"/>
        </w:rPr>
      </w:pPr>
      <w:r>
        <w:rPr>
          <w:rFonts w:ascii="Cambria" w:hAnsi="Cambria"/>
          <w:noProof/>
          <w:sz w:val="28"/>
          <w:szCs w:val="28"/>
          <w:lang w:eastAsia="sk-SK"/>
        </w:rPr>
        <w:drawing>
          <wp:inline distT="0" distB="0" distL="0" distR="0">
            <wp:extent cx="5770880" cy="3227070"/>
            <wp:effectExtent l="0" t="0" r="1270" b="0"/>
            <wp:docPr id="38" name="Graf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1749" w:rsidRPr="00F0732E" w:rsidRDefault="00B51749" w:rsidP="00B51749">
      <w:pPr>
        <w:pStyle w:val="Zkladntext2"/>
        <w:rPr>
          <w:rFonts w:ascii="Cambria" w:hAnsi="Cambria" w:cs="Calibri"/>
          <w:sz w:val="28"/>
          <w:szCs w:val="28"/>
        </w:rPr>
      </w:pPr>
    </w:p>
    <w:p w:rsidR="00B51749" w:rsidRPr="00F0732E" w:rsidRDefault="00B51749" w:rsidP="00B51749">
      <w:pPr>
        <w:ind w:right="-2"/>
        <w:rPr>
          <w:rFonts w:eastAsia="Calibri" w:cs="Calibri"/>
          <w:sz w:val="28"/>
          <w:szCs w:val="28"/>
        </w:rPr>
      </w:pPr>
      <w:r w:rsidRPr="00F0732E">
        <w:rPr>
          <w:rFonts w:cs="Calibri"/>
          <w:sz w:val="28"/>
          <w:szCs w:val="28"/>
        </w:rPr>
        <w:t xml:space="preserve">Celkovo je možné registrovať narastajúci trend medzinárodných mobilít študentov na STU, hlavne v rámci programu Erasmus. </w:t>
      </w:r>
      <w:r w:rsidRPr="00F0732E">
        <w:rPr>
          <w:sz w:val="28"/>
          <w:szCs w:val="28"/>
        </w:rPr>
        <w:t>Univerzita sa</w:t>
      </w:r>
      <w:r w:rsidRPr="00F0732E">
        <w:rPr>
          <w:spacing w:val="20"/>
          <w:sz w:val="28"/>
          <w:szCs w:val="28"/>
        </w:rPr>
        <w:t xml:space="preserve"> </w:t>
      </w:r>
      <w:r w:rsidRPr="00F0732E">
        <w:rPr>
          <w:sz w:val="28"/>
          <w:szCs w:val="28"/>
        </w:rPr>
        <w:t>snaží</w:t>
      </w:r>
      <w:r w:rsidRPr="00F0732E">
        <w:rPr>
          <w:w w:val="99"/>
          <w:sz w:val="28"/>
          <w:szCs w:val="28"/>
        </w:rPr>
        <w:t xml:space="preserve"> </w:t>
      </w:r>
      <w:r w:rsidRPr="00F0732E">
        <w:rPr>
          <w:sz w:val="28"/>
          <w:szCs w:val="28"/>
        </w:rPr>
        <w:t>študentské</w:t>
      </w:r>
      <w:r w:rsidRPr="00F0732E">
        <w:rPr>
          <w:spacing w:val="38"/>
          <w:sz w:val="28"/>
          <w:szCs w:val="28"/>
        </w:rPr>
        <w:t xml:space="preserve"> </w:t>
      </w:r>
      <w:r w:rsidRPr="00F0732E">
        <w:rPr>
          <w:sz w:val="28"/>
          <w:szCs w:val="28"/>
        </w:rPr>
        <w:t>mobily</w:t>
      </w:r>
      <w:r w:rsidRPr="00F0732E">
        <w:rPr>
          <w:spacing w:val="38"/>
          <w:sz w:val="28"/>
          <w:szCs w:val="28"/>
        </w:rPr>
        <w:t xml:space="preserve"> </w:t>
      </w:r>
      <w:r w:rsidRPr="00F0732E">
        <w:rPr>
          <w:sz w:val="28"/>
          <w:szCs w:val="28"/>
        </w:rPr>
        <w:t>podporovať.</w:t>
      </w:r>
      <w:r w:rsidRPr="00F0732E">
        <w:rPr>
          <w:spacing w:val="39"/>
          <w:sz w:val="28"/>
          <w:szCs w:val="28"/>
        </w:rPr>
        <w:t xml:space="preserve"> </w:t>
      </w:r>
      <w:r w:rsidRPr="00F0732E">
        <w:rPr>
          <w:sz w:val="28"/>
          <w:szCs w:val="28"/>
        </w:rPr>
        <w:t>Mobility</w:t>
      </w:r>
      <w:r w:rsidRPr="00F0732E">
        <w:rPr>
          <w:spacing w:val="37"/>
          <w:sz w:val="28"/>
          <w:szCs w:val="28"/>
        </w:rPr>
        <w:t xml:space="preserve"> </w:t>
      </w:r>
      <w:r w:rsidRPr="00F0732E">
        <w:rPr>
          <w:sz w:val="28"/>
          <w:szCs w:val="28"/>
        </w:rPr>
        <w:t>uľahčuje</w:t>
      </w:r>
      <w:r w:rsidRPr="00F0732E">
        <w:rPr>
          <w:spacing w:val="39"/>
          <w:sz w:val="28"/>
          <w:szCs w:val="28"/>
        </w:rPr>
        <w:t xml:space="preserve"> </w:t>
      </w:r>
      <w:r w:rsidRPr="00F0732E">
        <w:rPr>
          <w:sz w:val="28"/>
          <w:szCs w:val="28"/>
        </w:rPr>
        <w:t>aj</w:t>
      </w:r>
      <w:r w:rsidRPr="00F0732E">
        <w:rPr>
          <w:spacing w:val="39"/>
          <w:sz w:val="28"/>
          <w:szCs w:val="28"/>
        </w:rPr>
        <w:t xml:space="preserve"> </w:t>
      </w:r>
      <w:r w:rsidRPr="00F0732E">
        <w:rPr>
          <w:sz w:val="28"/>
          <w:szCs w:val="28"/>
        </w:rPr>
        <w:t>fakt,</w:t>
      </w:r>
      <w:r w:rsidRPr="00F0732E">
        <w:rPr>
          <w:spacing w:val="39"/>
          <w:sz w:val="28"/>
          <w:szCs w:val="28"/>
        </w:rPr>
        <w:t xml:space="preserve"> </w:t>
      </w:r>
      <w:r w:rsidRPr="00F0732E">
        <w:rPr>
          <w:sz w:val="28"/>
          <w:szCs w:val="28"/>
        </w:rPr>
        <w:t>že</w:t>
      </w:r>
      <w:r w:rsidRPr="00F0732E">
        <w:rPr>
          <w:spacing w:val="39"/>
          <w:sz w:val="28"/>
          <w:szCs w:val="28"/>
        </w:rPr>
        <w:t xml:space="preserve"> </w:t>
      </w:r>
      <w:r w:rsidRPr="00F0732E">
        <w:rPr>
          <w:sz w:val="28"/>
          <w:szCs w:val="28"/>
        </w:rPr>
        <w:t>STU</w:t>
      </w:r>
      <w:r w:rsidRPr="00F0732E">
        <w:rPr>
          <w:spacing w:val="39"/>
          <w:sz w:val="28"/>
          <w:szCs w:val="28"/>
        </w:rPr>
        <w:t xml:space="preserve"> </w:t>
      </w:r>
      <w:r w:rsidRPr="00F0732E">
        <w:rPr>
          <w:sz w:val="28"/>
          <w:szCs w:val="28"/>
        </w:rPr>
        <w:t>je nositeľom</w:t>
      </w:r>
      <w:r w:rsidRPr="00F0732E">
        <w:rPr>
          <w:w w:val="99"/>
          <w:sz w:val="28"/>
          <w:szCs w:val="28"/>
        </w:rPr>
        <w:t xml:space="preserve"> </w:t>
      </w:r>
      <w:r w:rsidRPr="00F0732E">
        <w:rPr>
          <w:sz w:val="28"/>
          <w:szCs w:val="28"/>
        </w:rPr>
        <w:t>ocenení ECST Label a DS</w:t>
      </w:r>
      <w:r w:rsidRPr="00F0732E">
        <w:rPr>
          <w:spacing w:val="-10"/>
          <w:sz w:val="28"/>
          <w:szCs w:val="28"/>
        </w:rPr>
        <w:t xml:space="preserve"> </w:t>
      </w:r>
      <w:r w:rsidRPr="00F0732E">
        <w:rPr>
          <w:sz w:val="28"/>
          <w:szCs w:val="28"/>
        </w:rPr>
        <w:t xml:space="preserve">Label. </w:t>
      </w:r>
    </w:p>
    <w:p w:rsidR="00B51749" w:rsidRDefault="00B51749" w:rsidP="00B51749">
      <w:pPr>
        <w:rPr>
          <w:rFonts w:eastAsia="Calibri" w:cs="Calibri"/>
          <w:sz w:val="28"/>
          <w:szCs w:val="28"/>
        </w:rPr>
      </w:pPr>
    </w:p>
    <w:p w:rsidR="0000089C" w:rsidRDefault="0000089C" w:rsidP="00B51749">
      <w:pPr>
        <w:rPr>
          <w:rFonts w:eastAsia="Calibri" w:cs="Calibri"/>
          <w:sz w:val="28"/>
          <w:szCs w:val="28"/>
        </w:rPr>
      </w:pPr>
    </w:p>
    <w:p w:rsidR="0000089C" w:rsidRDefault="0000089C" w:rsidP="00B51749">
      <w:pPr>
        <w:rPr>
          <w:rFonts w:eastAsia="Calibri" w:cs="Calibri"/>
          <w:sz w:val="28"/>
          <w:szCs w:val="28"/>
        </w:rPr>
      </w:pPr>
    </w:p>
    <w:p w:rsidR="0000089C" w:rsidRPr="00F0732E" w:rsidRDefault="0000089C" w:rsidP="00B51749">
      <w:pPr>
        <w:rPr>
          <w:rFonts w:eastAsia="Calibri" w:cs="Calibri"/>
          <w:sz w:val="28"/>
          <w:szCs w:val="28"/>
        </w:rPr>
      </w:pPr>
    </w:p>
    <w:p w:rsidR="00B51749" w:rsidRPr="00F0732E" w:rsidRDefault="00B51749" w:rsidP="00B51749">
      <w:pPr>
        <w:rPr>
          <w:b/>
          <w:sz w:val="28"/>
          <w:szCs w:val="28"/>
          <w:lang w:eastAsia="sk-SK"/>
        </w:rPr>
      </w:pPr>
      <w:r w:rsidRPr="00F0732E">
        <w:rPr>
          <w:b/>
          <w:sz w:val="28"/>
          <w:szCs w:val="28"/>
          <w:lang w:eastAsia="sk-SK"/>
        </w:rPr>
        <w:lastRenderedPageBreak/>
        <w:t>Tabuľka 3.15: Mobility</w:t>
      </w:r>
      <w:r w:rsidR="00151FA7">
        <w:rPr>
          <w:b/>
          <w:sz w:val="28"/>
          <w:szCs w:val="28"/>
          <w:lang w:eastAsia="sk-SK"/>
        </w:rPr>
        <w:t xml:space="preserve"> študentov</w:t>
      </w:r>
      <w:r w:rsidRPr="00F0732E">
        <w:rPr>
          <w:b/>
          <w:sz w:val="28"/>
          <w:szCs w:val="28"/>
          <w:lang w:eastAsia="sk-SK"/>
        </w:rPr>
        <w:t xml:space="preserve"> na STU za roky 2009 – 2014</w:t>
      </w:r>
    </w:p>
    <w:tbl>
      <w:tblPr>
        <w:tblW w:w="9371" w:type="dxa"/>
        <w:tblInd w:w="55" w:type="dxa"/>
        <w:tblLayout w:type="fixed"/>
        <w:tblCellMar>
          <w:left w:w="70" w:type="dxa"/>
          <w:right w:w="70" w:type="dxa"/>
        </w:tblCellMar>
        <w:tblLook w:val="04A0" w:firstRow="1" w:lastRow="0" w:firstColumn="1" w:lastColumn="0" w:noHBand="0" w:noVBand="1"/>
      </w:tblPr>
      <w:tblGrid>
        <w:gridCol w:w="864"/>
        <w:gridCol w:w="852"/>
        <w:gridCol w:w="690"/>
        <w:gridCol w:w="870"/>
        <w:gridCol w:w="672"/>
        <w:gridCol w:w="773"/>
        <w:gridCol w:w="964"/>
        <w:gridCol w:w="583"/>
        <w:gridCol w:w="835"/>
        <w:gridCol w:w="711"/>
        <w:gridCol w:w="774"/>
        <w:gridCol w:w="783"/>
      </w:tblGrid>
      <w:tr w:rsidR="00B51749" w:rsidRPr="00F0732E" w:rsidTr="00447572">
        <w:trPr>
          <w:trHeight w:val="255"/>
        </w:trPr>
        <w:tc>
          <w:tcPr>
            <w:tcW w:w="864" w:type="dxa"/>
            <w:vMerge w:val="restart"/>
            <w:tcBorders>
              <w:top w:val="single" w:sz="4" w:space="0" w:color="000000"/>
              <w:left w:val="single" w:sz="4" w:space="0" w:color="000000"/>
              <w:right w:val="single" w:sz="4" w:space="0" w:color="000000"/>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Akad. rok</w:t>
            </w:r>
          </w:p>
        </w:tc>
        <w:tc>
          <w:tcPr>
            <w:tcW w:w="3857" w:type="dxa"/>
            <w:gridSpan w:val="5"/>
            <w:tcBorders>
              <w:top w:val="single" w:sz="4" w:space="0" w:color="000000"/>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vyslaní</w:t>
            </w:r>
          </w:p>
        </w:tc>
        <w:tc>
          <w:tcPr>
            <w:tcW w:w="3867" w:type="dxa"/>
            <w:gridSpan w:val="5"/>
            <w:tcBorders>
              <w:top w:val="single" w:sz="4" w:space="0" w:color="000000"/>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prijatí</w:t>
            </w:r>
          </w:p>
        </w:tc>
        <w:tc>
          <w:tcPr>
            <w:tcW w:w="783" w:type="dxa"/>
            <w:vMerge w:val="restart"/>
            <w:tcBorders>
              <w:top w:val="single" w:sz="4" w:space="0" w:color="000000"/>
              <w:left w:val="nil"/>
              <w:right w:val="single" w:sz="4" w:space="0" w:color="000000"/>
            </w:tcBorders>
            <w:shd w:val="clear" w:color="000000" w:fill="F1F1F1"/>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Spolu</w:t>
            </w:r>
          </w:p>
        </w:tc>
      </w:tr>
      <w:tr w:rsidR="00B51749" w:rsidRPr="00F0732E" w:rsidTr="00447572">
        <w:trPr>
          <w:trHeight w:val="255"/>
        </w:trPr>
        <w:tc>
          <w:tcPr>
            <w:tcW w:w="864" w:type="dxa"/>
            <w:vMerge/>
            <w:tcBorders>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b/>
                <w:bCs/>
                <w:sz w:val="28"/>
                <w:szCs w:val="28"/>
                <w:lang w:eastAsia="sk-SK"/>
              </w:rPr>
            </w:pPr>
          </w:p>
        </w:tc>
        <w:tc>
          <w:tcPr>
            <w:tcW w:w="85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Erasmus</w:t>
            </w:r>
          </w:p>
        </w:tc>
        <w:tc>
          <w:tcPr>
            <w:tcW w:w="69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NŠP</w:t>
            </w:r>
          </w:p>
        </w:tc>
        <w:tc>
          <w:tcPr>
            <w:tcW w:w="87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CEEPUS</w:t>
            </w:r>
          </w:p>
        </w:tc>
        <w:tc>
          <w:tcPr>
            <w:tcW w:w="67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iné</w:t>
            </w:r>
          </w:p>
        </w:tc>
        <w:tc>
          <w:tcPr>
            <w:tcW w:w="77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c>
          <w:tcPr>
            <w:tcW w:w="96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Erasmus</w:t>
            </w:r>
          </w:p>
        </w:tc>
        <w:tc>
          <w:tcPr>
            <w:tcW w:w="58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NŠP</w:t>
            </w:r>
          </w:p>
        </w:tc>
        <w:tc>
          <w:tcPr>
            <w:tcW w:w="835"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CEEPUS</w:t>
            </w:r>
          </w:p>
        </w:tc>
        <w:tc>
          <w:tcPr>
            <w:tcW w:w="711"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iné</w:t>
            </w:r>
          </w:p>
        </w:tc>
        <w:tc>
          <w:tcPr>
            <w:tcW w:w="77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c>
          <w:tcPr>
            <w:tcW w:w="783" w:type="dxa"/>
            <w:vMerge/>
            <w:tcBorders>
              <w:left w:val="nil"/>
              <w:bottom w:val="single" w:sz="4" w:space="0" w:color="000000"/>
              <w:right w:val="single" w:sz="4" w:space="0" w:color="000000"/>
            </w:tcBorders>
            <w:shd w:val="clear" w:color="000000" w:fill="F1F1F1"/>
            <w:vAlign w:val="center"/>
            <w:hideMark/>
          </w:tcPr>
          <w:p w:rsidR="00B51749" w:rsidRPr="00F0732E" w:rsidRDefault="00B51749" w:rsidP="00447572">
            <w:pPr>
              <w:rPr>
                <w:rFonts w:eastAsia="Times New Roman" w:cs="Arial"/>
                <w:b/>
                <w:bCs/>
                <w:sz w:val="28"/>
                <w:szCs w:val="28"/>
                <w:lang w:eastAsia="sk-SK"/>
              </w:rPr>
            </w:pPr>
          </w:p>
        </w:tc>
      </w:tr>
      <w:tr w:rsidR="00B51749" w:rsidRPr="00F0732E" w:rsidTr="00447572">
        <w:trPr>
          <w:trHeight w:val="25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2009/10</w:t>
            </w:r>
          </w:p>
        </w:tc>
        <w:tc>
          <w:tcPr>
            <w:tcW w:w="85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135</w:t>
            </w:r>
          </w:p>
        </w:tc>
        <w:tc>
          <w:tcPr>
            <w:tcW w:w="69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87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c>
          <w:tcPr>
            <w:tcW w:w="67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153</w:t>
            </w:r>
          </w:p>
        </w:tc>
        <w:tc>
          <w:tcPr>
            <w:tcW w:w="96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42</w:t>
            </w:r>
          </w:p>
        </w:tc>
        <w:tc>
          <w:tcPr>
            <w:tcW w:w="58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835"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w:t>
            </w:r>
          </w:p>
        </w:tc>
        <w:tc>
          <w:tcPr>
            <w:tcW w:w="711"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65</w:t>
            </w:r>
          </w:p>
        </w:tc>
        <w:tc>
          <w:tcPr>
            <w:tcW w:w="783" w:type="dxa"/>
            <w:tcBorders>
              <w:top w:val="nil"/>
              <w:left w:val="nil"/>
              <w:bottom w:val="single" w:sz="4" w:space="0" w:color="000000"/>
              <w:right w:val="single" w:sz="4" w:space="0" w:color="000000"/>
            </w:tcBorders>
            <w:shd w:val="clear" w:color="000000" w:fill="F1F1F1"/>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218</w:t>
            </w:r>
          </w:p>
        </w:tc>
      </w:tr>
      <w:tr w:rsidR="00B51749" w:rsidRPr="00F0732E" w:rsidTr="00447572">
        <w:trPr>
          <w:trHeight w:val="25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2010/11</w:t>
            </w:r>
          </w:p>
        </w:tc>
        <w:tc>
          <w:tcPr>
            <w:tcW w:w="85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123</w:t>
            </w:r>
          </w:p>
        </w:tc>
        <w:tc>
          <w:tcPr>
            <w:tcW w:w="69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87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w:t>
            </w:r>
          </w:p>
        </w:tc>
        <w:tc>
          <w:tcPr>
            <w:tcW w:w="67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155</w:t>
            </w:r>
          </w:p>
        </w:tc>
        <w:tc>
          <w:tcPr>
            <w:tcW w:w="96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45</w:t>
            </w:r>
          </w:p>
        </w:tc>
        <w:tc>
          <w:tcPr>
            <w:tcW w:w="58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835"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28</w:t>
            </w:r>
          </w:p>
        </w:tc>
        <w:tc>
          <w:tcPr>
            <w:tcW w:w="711"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81</w:t>
            </w:r>
          </w:p>
        </w:tc>
        <w:tc>
          <w:tcPr>
            <w:tcW w:w="783" w:type="dxa"/>
            <w:tcBorders>
              <w:top w:val="nil"/>
              <w:left w:val="nil"/>
              <w:bottom w:val="single" w:sz="4" w:space="0" w:color="000000"/>
              <w:right w:val="single" w:sz="4" w:space="0" w:color="000000"/>
            </w:tcBorders>
            <w:shd w:val="clear" w:color="000000" w:fill="F1F1F1"/>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236</w:t>
            </w:r>
          </w:p>
        </w:tc>
      </w:tr>
      <w:tr w:rsidR="00B51749" w:rsidRPr="00F0732E" w:rsidTr="00447572">
        <w:trPr>
          <w:trHeight w:val="25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2011/12</w:t>
            </w:r>
          </w:p>
        </w:tc>
        <w:tc>
          <w:tcPr>
            <w:tcW w:w="85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176</w:t>
            </w:r>
          </w:p>
        </w:tc>
        <w:tc>
          <w:tcPr>
            <w:tcW w:w="69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28</w:t>
            </w:r>
          </w:p>
        </w:tc>
        <w:tc>
          <w:tcPr>
            <w:tcW w:w="87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59</w:t>
            </w:r>
          </w:p>
        </w:tc>
        <w:tc>
          <w:tcPr>
            <w:tcW w:w="67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263</w:t>
            </w:r>
          </w:p>
        </w:tc>
        <w:tc>
          <w:tcPr>
            <w:tcW w:w="96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57</w:t>
            </w:r>
          </w:p>
        </w:tc>
        <w:tc>
          <w:tcPr>
            <w:tcW w:w="58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835"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w:t>
            </w:r>
          </w:p>
        </w:tc>
        <w:tc>
          <w:tcPr>
            <w:tcW w:w="711"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86</w:t>
            </w:r>
          </w:p>
        </w:tc>
        <w:tc>
          <w:tcPr>
            <w:tcW w:w="783" w:type="dxa"/>
            <w:tcBorders>
              <w:top w:val="nil"/>
              <w:left w:val="nil"/>
              <w:bottom w:val="single" w:sz="4" w:space="0" w:color="000000"/>
              <w:right w:val="single" w:sz="4" w:space="0" w:color="000000"/>
            </w:tcBorders>
            <w:shd w:val="clear" w:color="000000" w:fill="F1F1F1"/>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349</w:t>
            </w:r>
          </w:p>
        </w:tc>
      </w:tr>
      <w:tr w:rsidR="00B51749" w:rsidRPr="00F0732E" w:rsidTr="00447572">
        <w:trPr>
          <w:trHeight w:val="25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2012/13</w:t>
            </w:r>
          </w:p>
        </w:tc>
        <w:tc>
          <w:tcPr>
            <w:tcW w:w="85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192</w:t>
            </w:r>
          </w:p>
        </w:tc>
        <w:tc>
          <w:tcPr>
            <w:tcW w:w="69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22</w:t>
            </w:r>
          </w:p>
        </w:tc>
        <w:tc>
          <w:tcPr>
            <w:tcW w:w="870"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w:t>
            </w:r>
          </w:p>
        </w:tc>
        <w:tc>
          <w:tcPr>
            <w:tcW w:w="672"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214</w:t>
            </w:r>
          </w:p>
        </w:tc>
        <w:tc>
          <w:tcPr>
            <w:tcW w:w="96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76</w:t>
            </w:r>
          </w:p>
        </w:tc>
        <w:tc>
          <w:tcPr>
            <w:tcW w:w="583"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w:t>
            </w:r>
          </w:p>
        </w:tc>
        <w:tc>
          <w:tcPr>
            <w:tcW w:w="835"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w:t>
            </w:r>
          </w:p>
        </w:tc>
        <w:tc>
          <w:tcPr>
            <w:tcW w:w="711"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w:t>
            </w:r>
          </w:p>
        </w:tc>
        <w:tc>
          <w:tcPr>
            <w:tcW w:w="774" w:type="dxa"/>
            <w:tcBorders>
              <w:top w:val="nil"/>
              <w:left w:val="nil"/>
              <w:bottom w:val="single" w:sz="4" w:space="0" w:color="000000"/>
              <w:right w:val="single" w:sz="4" w:space="0" w:color="000000"/>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112</w:t>
            </w:r>
          </w:p>
        </w:tc>
        <w:tc>
          <w:tcPr>
            <w:tcW w:w="783" w:type="dxa"/>
            <w:tcBorders>
              <w:top w:val="nil"/>
              <w:left w:val="nil"/>
              <w:bottom w:val="single" w:sz="4" w:space="0" w:color="000000"/>
              <w:right w:val="single" w:sz="4" w:space="0" w:color="000000"/>
            </w:tcBorders>
            <w:shd w:val="clear" w:color="000000" w:fill="F1F1F1"/>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326</w:t>
            </w:r>
          </w:p>
        </w:tc>
      </w:tr>
      <w:tr w:rsidR="00151FA7" w:rsidRPr="00F0732E" w:rsidTr="00447572">
        <w:trPr>
          <w:trHeight w:val="25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151FA7" w:rsidRPr="00F0732E" w:rsidRDefault="00151FA7" w:rsidP="00447572">
            <w:pPr>
              <w:rPr>
                <w:rFonts w:eastAsia="Times New Roman" w:cs="Arial"/>
                <w:sz w:val="28"/>
                <w:szCs w:val="28"/>
                <w:lang w:eastAsia="sk-SK"/>
              </w:rPr>
            </w:pPr>
            <w:r w:rsidRPr="00F0732E">
              <w:rPr>
                <w:rFonts w:eastAsia="Times New Roman" w:cs="Arial"/>
                <w:sz w:val="28"/>
                <w:szCs w:val="28"/>
                <w:lang w:eastAsia="sk-SK"/>
              </w:rPr>
              <w:t>2013/14</w:t>
            </w:r>
          </w:p>
        </w:tc>
        <w:tc>
          <w:tcPr>
            <w:tcW w:w="852" w:type="dxa"/>
            <w:tcBorders>
              <w:top w:val="nil"/>
              <w:left w:val="nil"/>
              <w:bottom w:val="single" w:sz="4" w:space="0" w:color="000000"/>
              <w:right w:val="single" w:sz="4" w:space="0" w:color="000000"/>
            </w:tcBorders>
            <w:shd w:val="clear" w:color="auto" w:fill="auto"/>
            <w:vAlign w:val="center"/>
            <w:hideMark/>
          </w:tcPr>
          <w:p w:rsidR="00151FA7" w:rsidRPr="00F0732E" w:rsidRDefault="00151FA7" w:rsidP="00447572">
            <w:pPr>
              <w:jc w:val="center"/>
              <w:rPr>
                <w:rFonts w:eastAsia="Times New Roman" w:cs="Arial"/>
                <w:sz w:val="28"/>
                <w:szCs w:val="28"/>
                <w:lang w:eastAsia="sk-SK"/>
              </w:rPr>
            </w:pPr>
            <w:r w:rsidRPr="00F0732E">
              <w:rPr>
                <w:rFonts w:eastAsia="Times New Roman" w:cs="Arial"/>
                <w:sz w:val="28"/>
                <w:szCs w:val="28"/>
                <w:lang w:eastAsia="sk-SK"/>
              </w:rPr>
              <w:t>230</w:t>
            </w:r>
          </w:p>
        </w:tc>
        <w:tc>
          <w:tcPr>
            <w:tcW w:w="690" w:type="dxa"/>
            <w:tcBorders>
              <w:top w:val="nil"/>
              <w:left w:val="nil"/>
              <w:bottom w:val="single" w:sz="4" w:space="0" w:color="000000"/>
              <w:right w:val="single" w:sz="4" w:space="0" w:color="000000"/>
            </w:tcBorders>
            <w:shd w:val="clear" w:color="auto" w:fill="auto"/>
            <w:vAlign w:val="center"/>
            <w:hideMark/>
          </w:tcPr>
          <w:p w:rsidR="00151FA7" w:rsidRPr="00F0732E" w:rsidRDefault="00151FA7" w:rsidP="00447572">
            <w:pPr>
              <w:jc w:val="center"/>
              <w:rPr>
                <w:rFonts w:eastAsia="Times New Roman" w:cs="Arial"/>
                <w:sz w:val="28"/>
                <w:szCs w:val="28"/>
                <w:lang w:eastAsia="sk-SK"/>
              </w:rPr>
            </w:pPr>
            <w:r w:rsidRPr="00F0732E">
              <w:rPr>
                <w:rFonts w:eastAsia="Times New Roman" w:cs="Arial"/>
                <w:sz w:val="28"/>
                <w:szCs w:val="28"/>
                <w:lang w:eastAsia="sk-SK"/>
              </w:rPr>
              <w:t>33</w:t>
            </w:r>
          </w:p>
        </w:tc>
        <w:tc>
          <w:tcPr>
            <w:tcW w:w="870"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28</w:t>
            </w:r>
          </w:p>
        </w:tc>
        <w:tc>
          <w:tcPr>
            <w:tcW w:w="672"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34</w:t>
            </w:r>
          </w:p>
        </w:tc>
        <w:tc>
          <w:tcPr>
            <w:tcW w:w="773"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b/>
                <w:bCs/>
                <w:sz w:val="28"/>
                <w:szCs w:val="28"/>
                <w:lang w:eastAsia="sk-SK"/>
              </w:rPr>
            </w:pPr>
            <w:r w:rsidRPr="00151FA7">
              <w:rPr>
                <w:rFonts w:asciiTheme="majorHAnsi" w:eastAsia="Times New Roman" w:hAnsiTheme="majorHAnsi" w:cs="Arial"/>
                <w:b/>
                <w:bCs/>
                <w:sz w:val="28"/>
                <w:szCs w:val="28"/>
                <w:lang w:eastAsia="sk-SK"/>
              </w:rPr>
              <w:t>325</w:t>
            </w:r>
          </w:p>
        </w:tc>
        <w:tc>
          <w:tcPr>
            <w:tcW w:w="964"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89</w:t>
            </w:r>
          </w:p>
        </w:tc>
        <w:tc>
          <w:tcPr>
            <w:tcW w:w="583"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13</w:t>
            </w:r>
          </w:p>
        </w:tc>
        <w:tc>
          <w:tcPr>
            <w:tcW w:w="835"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21</w:t>
            </w:r>
          </w:p>
        </w:tc>
        <w:tc>
          <w:tcPr>
            <w:tcW w:w="711" w:type="dxa"/>
            <w:tcBorders>
              <w:top w:val="nil"/>
              <w:left w:val="nil"/>
              <w:bottom w:val="single" w:sz="4" w:space="0" w:color="000000"/>
              <w:right w:val="single" w:sz="4" w:space="0" w:color="000000"/>
            </w:tcBorders>
            <w:shd w:val="clear" w:color="auto" w:fill="auto"/>
            <w:vAlign w:val="center"/>
            <w:hideMark/>
          </w:tcPr>
          <w:p w:rsidR="00151FA7" w:rsidRPr="00151FA7" w:rsidRDefault="00151FA7" w:rsidP="003C08AD">
            <w:pPr>
              <w:jc w:val="center"/>
              <w:rPr>
                <w:rFonts w:asciiTheme="majorHAnsi" w:eastAsia="Times New Roman" w:hAnsiTheme="majorHAnsi" w:cs="Arial"/>
                <w:sz w:val="28"/>
                <w:szCs w:val="28"/>
                <w:lang w:eastAsia="sk-SK"/>
              </w:rPr>
            </w:pPr>
            <w:r w:rsidRPr="00151FA7">
              <w:rPr>
                <w:rFonts w:asciiTheme="majorHAnsi" w:eastAsia="Times New Roman" w:hAnsiTheme="majorHAnsi" w:cs="Arial"/>
                <w:sz w:val="28"/>
                <w:szCs w:val="28"/>
                <w:lang w:eastAsia="sk-SK"/>
              </w:rPr>
              <w:t>30</w:t>
            </w:r>
          </w:p>
        </w:tc>
        <w:tc>
          <w:tcPr>
            <w:tcW w:w="774" w:type="dxa"/>
            <w:tcBorders>
              <w:top w:val="nil"/>
              <w:left w:val="nil"/>
              <w:bottom w:val="single" w:sz="4" w:space="0" w:color="000000"/>
              <w:right w:val="single" w:sz="4" w:space="0" w:color="000000"/>
            </w:tcBorders>
            <w:shd w:val="clear" w:color="auto" w:fill="auto"/>
            <w:hideMark/>
          </w:tcPr>
          <w:p w:rsidR="00151FA7" w:rsidRPr="00151FA7" w:rsidRDefault="00151FA7" w:rsidP="00151FA7">
            <w:pPr>
              <w:spacing w:before="200"/>
              <w:jc w:val="center"/>
              <w:rPr>
                <w:rFonts w:asciiTheme="majorHAnsi" w:eastAsia="Times New Roman" w:hAnsiTheme="majorHAnsi" w:cs="Arial"/>
                <w:b/>
                <w:bCs/>
                <w:sz w:val="28"/>
                <w:szCs w:val="28"/>
                <w:lang w:eastAsia="sk-SK"/>
              </w:rPr>
            </w:pPr>
            <w:r w:rsidRPr="00151FA7">
              <w:rPr>
                <w:rFonts w:asciiTheme="majorHAnsi" w:eastAsia="Times New Roman" w:hAnsiTheme="majorHAnsi" w:cs="Arial"/>
                <w:b/>
                <w:bCs/>
                <w:sz w:val="28"/>
                <w:szCs w:val="28"/>
                <w:lang w:eastAsia="sk-SK"/>
              </w:rPr>
              <w:t>153</w:t>
            </w:r>
          </w:p>
        </w:tc>
        <w:tc>
          <w:tcPr>
            <w:tcW w:w="783" w:type="dxa"/>
            <w:tcBorders>
              <w:top w:val="nil"/>
              <w:left w:val="nil"/>
              <w:bottom w:val="single" w:sz="4" w:space="0" w:color="000000"/>
              <w:right w:val="single" w:sz="4" w:space="0" w:color="000000"/>
            </w:tcBorders>
            <w:shd w:val="clear" w:color="000000" w:fill="F1F1F1"/>
            <w:vAlign w:val="center"/>
            <w:hideMark/>
          </w:tcPr>
          <w:p w:rsidR="00151FA7" w:rsidRPr="00151FA7" w:rsidRDefault="00151FA7" w:rsidP="003C08AD">
            <w:pPr>
              <w:jc w:val="center"/>
              <w:rPr>
                <w:rFonts w:asciiTheme="majorHAnsi" w:eastAsia="Times New Roman" w:hAnsiTheme="majorHAnsi" w:cs="Arial"/>
                <w:b/>
                <w:bCs/>
                <w:sz w:val="28"/>
                <w:szCs w:val="28"/>
                <w:lang w:eastAsia="sk-SK"/>
              </w:rPr>
            </w:pPr>
            <w:r w:rsidRPr="00151FA7">
              <w:rPr>
                <w:rFonts w:asciiTheme="majorHAnsi" w:eastAsia="Times New Roman" w:hAnsiTheme="majorHAnsi" w:cs="Arial"/>
                <w:b/>
                <w:bCs/>
                <w:sz w:val="28"/>
                <w:szCs w:val="28"/>
                <w:lang w:eastAsia="sk-SK"/>
              </w:rPr>
              <w:t>478</w:t>
            </w:r>
          </w:p>
        </w:tc>
      </w:tr>
    </w:tbl>
    <w:p w:rsidR="00B51749" w:rsidRPr="00F0732E" w:rsidRDefault="00B51749" w:rsidP="00B51749">
      <w:pPr>
        <w:rPr>
          <w:rFonts w:cs="Calibri"/>
          <w:sz w:val="28"/>
          <w:szCs w:val="28"/>
        </w:rPr>
      </w:pPr>
      <w:r w:rsidRPr="00F0732E">
        <w:rPr>
          <w:rFonts w:cs="Calibri"/>
          <w:sz w:val="28"/>
          <w:szCs w:val="28"/>
        </w:rPr>
        <w:t>Vysvetlivky: * v danom akademickom roku neboli údaje k dispozícii</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p>
    <w:p w:rsidR="00B51749" w:rsidRDefault="00B51749" w:rsidP="00B51749">
      <w:pPr>
        <w:rPr>
          <w:rFonts w:cs="Calibri"/>
          <w:b/>
          <w:sz w:val="28"/>
          <w:szCs w:val="28"/>
        </w:rPr>
      </w:pPr>
      <w:r w:rsidRPr="00F0732E">
        <w:rPr>
          <w:rFonts w:cs="Calibri"/>
          <w:b/>
          <w:sz w:val="28"/>
          <w:szCs w:val="28"/>
        </w:rPr>
        <w:t xml:space="preserve">Graf 3.9: Počet prijatých a vyslaných študentov v rámci medzinárodných mobilít za </w:t>
      </w:r>
      <w:r w:rsidR="00FE275A">
        <w:rPr>
          <w:rFonts w:cs="Calibri"/>
          <w:b/>
          <w:sz w:val="28"/>
          <w:szCs w:val="28"/>
        </w:rPr>
        <w:t>roky 2009-2014</w:t>
      </w:r>
    </w:p>
    <w:p w:rsidR="00FE275A" w:rsidRPr="00F0732E" w:rsidRDefault="00FE275A" w:rsidP="00B51749">
      <w:pPr>
        <w:rPr>
          <w:rFonts w:cs="Calibri"/>
          <w:b/>
          <w:sz w:val="28"/>
          <w:szCs w:val="28"/>
        </w:rPr>
      </w:pPr>
    </w:p>
    <w:p w:rsidR="00B51749" w:rsidRPr="00F0732E" w:rsidRDefault="00FE275A" w:rsidP="00FE275A">
      <w:pPr>
        <w:jc w:val="center"/>
        <w:rPr>
          <w:rFonts w:cs="Calibri"/>
          <w:sz w:val="28"/>
          <w:szCs w:val="28"/>
        </w:rPr>
      </w:pPr>
      <w:r>
        <w:rPr>
          <w:noProof/>
          <w:lang w:eastAsia="sk-SK"/>
        </w:rPr>
        <w:drawing>
          <wp:inline distT="0" distB="0" distL="0" distR="0" wp14:anchorId="31381671" wp14:editId="4FC1BD00">
            <wp:extent cx="4784652" cy="284952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1749" w:rsidRPr="00F0732E" w:rsidRDefault="00B51749" w:rsidP="00B51749">
      <w:pPr>
        <w:rPr>
          <w:rFonts w:cs="Calibri"/>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12" w:name="_Toc413009315"/>
      <w:r w:rsidRPr="00F0732E">
        <w:rPr>
          <w:rFonts w:ascii="Cambria" w:hAnsi="Cambria"/>
          <w:color w:val="auto"/>
        </w:rPr>
        <w:t>Záujem o štúdium a výsledky prijímacieho konania</w:t>
      </w:r>
      <w:bookmarkEnd w:id="12"/>
    </w:p>
    <w:p w:rsidR="00B51749" w:rsidRPr="00F0732E" w:rsidRDefault="00B51749" w:rsidP="00B51749">
      <w:pPr>
        <w:rPr>
          <w:rFonts w:cs="Calibri"/>
          <w:sz w:val="28"/>
          <w:szCs w:val="28"/>
        </w:rPr>
      </w:pPr>
      <w:r w:rsidRPr="00F0732E">
        <w:rPr>
          <w:rFonts w:cs="Calibri"/>
          <w:sz w:val="28"/>
          <w:szCs w:val="28"/>
        </w:rPr>
        <w:t xml:space="preserve">Prijímacie konanie </w:t>
      </w:r>
      <w:r w:rsidR="00FC4030" w:rsidRPr="00F0732E">
        <w:rPr>
          <w:rFonts w:cs="Calibri"/>
          <w:sz w:val="28"/>
          <w:szCs w:val="28"/>
        </w:rPr>
        <w:t xml:space="preserve">je </w:t>
      </w:r>
      <w:r w:rsidRPr="00F0732E">
        <w:rPr>
          <w:rFonts w:cs="Calibri"/>
          <w:sz w:val="28"/>
          <w:szCs w:val="28"/>
        </w:rPr>
        <w:t xml:space="preserve">na STU na všetky stupne vysokoškolského vzdelávania, zamerané na získanie najmä tých študentov, ktorí majú najlepšie predpoklady zvládnuť štúdium na technickej univerzite. </w:t>
      </w:r>
    </w:p>
    <w:p w:rsidR="00B51749" w:rsidRPr="00F0732E" w:rsidRDefault="00B51749" w:rsidP="00B51749">
      <w:pPr>
        <w:rPr>
          <w:rFonts w:cs="Calibri"/>
          <w:sz w:val="28"/>
          <w:szCs w:val="28"/>
        </w:rPr>
      </w:pPr>
      <w:r w:rsidRPr="00F0732E">
        <w:rPr>
          <w:rFonts w:cs="Calibri"/>
          <w:sz w:val="28"/>
          <w:szCs w:val="28"/>
        </w:rPr>
        <w:lastRenderedPageBreak/>
        <w:t xml:space="preserve">Proces prijímacieho konania sa riadi § 55 – 58 zákona. V rámci jeho prípravy akademické senáty fakúlt a univerzity schválili ďalšie podmienky prijatia na štúdium študijných programov predkladané dekanmi, resp. rektorom univerzity. Podmienky spolu s harmonogramom prijímacieho konania boli v zákonom stanovenom termíne a stanoveným spôsobom zverejnené. </w:t>
      </w:r>
    </w:p>
    <w:p w:rsidR="00B51749" w:rsidRPr="00F0732E" w:rsidRDefault="00B51749" w:rsidP="00B51749">
      <w:pPr>
        <w:rPr>
          <w:rFonts w:cs="Calibri"/>
          <w:sz w:val="28"/>
          <w:szCs w:val="28"/>
        </w:rPr>
      </w:pPr>
      <w:r w:rsidRPr="00F0732E">
        <w:rPr>
          <w:rFonts w:cs="Calibri"/>
          <w:sz w:val="28"/>
          <w:szCs w:val="28"/>
        </w:rPr>
        <w:t>Uchádzači o štúdium na STU na všetky tri stupne štúdia využili vyplnenie prihlášky elektronickou formou prostredníctvom</w:t>
      </w:r>
      <w:r w:rsidR="0031338B">
        <w:rPr>
          <w:rFonts w:cs="Calibri"/>
          <w:sz w:val="28"/>
          <w:szCs w:val="28"/>
        </w:rPr>
        <w:t xml:space="preserve"> AIS (94 </w:t>
      </w:r>
      <w:r w:rsidRPr="00F0732E">
        <w:rPr>
          <w:rFonts w:cs="Calibri"/>
          <w:sz w:val="28"/>
          <w:szCs w:val="28"/>
        </w:rPr>
        <w:t>% všetkých prihlášok).</w:t>
      </w:r>
    </w:p>
    <w:p w:rsidR="00B51749" w:rsidRPr="00F0732E" w:rsidRDefault="00B51749" w:rsidP="00B51749">
      <w:pPr>
        <w:rPr>
          <w:rFonts w:cs="Calibri"/>
          <w:sz w:val="28"/>
          <w:szCs w:val="28"/>
        </w:rPr>
      </w:pPr>
      <w:r w:rsidRPr="00F0732E">
        <w:rPr>
          <w:rFonts w:cs="Calibri"/>
          <w:sz w:val="28"/>
          <w:szCs w:val="28"/>
        </w:rPr>
        <w:t xml:space="preserve">Niektoré súčasti univerzity vypísali aj druhé kolo prijímacieho konania (SvF, SjF, FEI, FCHPT, MTF a ÚM); ktorých sa mohli zúčastniť aj uchádzači, ktorí neuspeli v prvom kole prijímacieho konania. </w:t>
      </w:r>
    </w:p>
    <w:p w:rsidR="00B51749" w:rsidRPr="00F0732E" w:rsidRDefault="00B51749" w:rsidP="00B51749">
      <w:pPr>
        <w:rPr>
          <w:rFonts w:cs="Calibri"/>
          <w:sz w:val="28"/>
          <w:szCs w:val="28"/>
        </w:rPr>
      </w:pPr>
      <w:r w:rsidRPr="00F0732E">
        <w:rPr>
          <w:rFonts w:cs="Calibri"/>
          <w:sz w:val="28"/>
          <w:szCs w:val="28"/>
        </w:rPr>
        <w:t xml:space="preserve">Na </w:t>
      </w:r>
      <w:r w:rsidRPr="00F0732E">
        <w:rPr>
          <w:rFonts w:cs="Calibri"/>
          <w:b/>
          <w:sz w:val="28"/>
          <w:szCs w:val="28"/>
        </w:rPr>
        <w:t>propagáciu štúdia</w:t>
      </w:r>
      <w:r w:rsidRPr="00F0732E">
        <w:rPr>
          <w:rFonts w:cs="Calibri"/>
          <w:sz w:val="28"/>
          <w:szCs w:val="28"/>
        </w:rPr>
        <w:t xml:space="preserve"> </w:t>
      </w:r>
      <w:r w:rsidR="00021D9D" w:rsidRPr="00F0732E">
        <w:rPr>
          <w:rFonts w:cs="Calibri"/>
          <w:sz w:val="28"/>
          <w:szCs w:val="28"/>
        </w:rPr>
        <w:t xml:space="preserve">sa </w:t>
      </w:r>
      <w:r w:rsidRPr="00F0732E">
        <w:rPr>
          <w:rFonts w:cs="Calibri"/>
          <w:sz w:val="28"/>
          <w:szCs w:val="28"/>
        </w:rPr>
        <w:t>na STU využívali rôzne možnosti a formy – vo všeobecnosti hlavne prostredníctvom informácií na webovej stránke univerzity a fakúlt; účasti na podujatiach zameraných na propagáciu štúdia (napr. veľtrhy vzdelávania AKADEMIA-VAPAC, GAUDEAMUS a pod.), ako aj prostredníctvom rôznych informácií v masmédiách.</w:t>
      </w:r>
    </w:p>
    <w:p w:rsidR="00B51749" w:rsidRPr="00F0732E" w:rsidRDefault="00B51749" w:rsidP="00B51749">
      <w:pPr>
        <w:rPr>
          <w:rFonts w:cs="Calibri"/>
          <w:sz w:val="28"/>
          <w:szCs w:val="28"/>
        </w:rPr>
      </w:pPr>
      <w:r w:rsidRPr="00F0732E">
        <w:rPr>
          <w:rFonts w:cs="Calibri"/>
          <w:b/>
          <w:sz w:val="28"/>
          <w:szCs w:val="28"/>
        </w:rPr>
        <w:t>Bakalárske študijné programy sa propagovali</w:t>
      </w:r>
      <w:r w:rsidRPr="00F0732E">
        <w:rPr>
          <w:rFonts w:cs="Calibri"/>
          <w:sz w:val="28"/>
          <w:szCs w:val="28"/>
        </w:rPr>
        <w:t xml:space="preserve"> špecificky najmä návštevami stredných škôl, prostredníctvom „dňa otvorených dverí“ a aj prostredníctvom tzv. „ambasádorov“, študentov stredných škôl, ktorí sa zúčastnili „Letnej </w:t>
      </w:r>
      <w:r w:rsidR="00780F2B" w:rsidRPr="0059644C">
        <w:rPr>
          <w:rFonts w:cs="Calibri"/>
          <w:sz w:val="28"/>
          <w:szCs w:val="28"/>
        </w:rPr>
        <w:t>univerzity</w:t>
      </w:r>
      <w:r w:rsidRPr="00F0732E">
        <w:rPr>
          <w:rFonts w:cs="Calibri"/>
          <w:sz w:val="28"/>
          <w:szCs w:val="28"/>
        </w:rPr>
        <w:t xml:space="preserve"> stredoškolákov“ (koná sa pravidelne v mesiaci september).</w:t>
      </w:r>
    </w:p>
    <w:p w:rsidR="00B51749" w:rsidRPr="00F0732E" w:rsidRDefault="00B51749" w:rsidP="00B51749">
      <w:pPr>
        <w:rPr>
          <w:rFonts w:cs="Calibri"/>
          <w:sz w:val="28"/>
          <w:szCs w:val="28"/>
        </w:rPr>
      </w:pPr>
      <w:r w:rsidRPr="00F0732E">
        <w:rPr>
          <w:rFonts w:cs="Calibri"/>
          <w:b/>
          <w:sz w:val="28"/>
          <w:szCs w:val="28"/>
        </w:rPr>
        <w:t>Na propagáciu inžinierskych, magisterských a doktorandských študijných programov</w:t>
      </w:r>
      <w:r w:rsidRPr="00F0732E">
        <w:rPr>
          <w:rFonts w:cs="Calibri"/>
          <w:sz w:val="28"/>
          <w:szCs w:val="28"/>
        </w:rPr>
        <w:t xml:space="preserve"> sa pre vlastných absolventov prvého stupňa resp. druhého stupňa štúdia využívali aj konzultácie a usmerňovanie na študijných oddeleniach. Pre študentov iných vysokých škôl sa v tomto zmysle využívala najmä e-mailová korešpondencia.</w:t>
      </w:r>
    </w:p>
    <w:p w:rsidR="00B51749" w:rsidRPr="00F0732E" w:rsidRDefault="00B51749" w:rsidP="00B51749">
      <w:pPr>
        <w:rPr>
          <w:rFonts w:cs="Calibri"/>
          <w:sz w:val="28"/>
          <w:szCs w:val="28"/>
        </w:rPr>
      </w:pPr>
      <w:r w:rsidRPr="00F0732E">
        <w:rPr>
          <w:rFonts w:cs="Calibri"/>
          <w:sz w:val="28"/>
          <w:szCs w:val="28"/>
        </w:rPr>
        <w:t>V prijímacom konaní na jednotlivé stupne vysokoškolského vzdelávania sú určité odlišnosti, ktoré sú dané poslaním a cieľom daného stupňa vzdelávania. Tieto odlišnosti v stručnosti v ďalšom uvedieme aj s príslušnými štatistickými údajmi.</w:t>
      </w:r>
    </w:p>
    <w:p w:rsidR="00B51749" w:rsidRPr="00F0732E" w:rsidRDefault="00B51749" w:rsidP="00B51749">
      <w:pPr>
        <w:rPr>
          <w:rFonts w:cs="Calibri"/>
          <w:sz w:val="28"/>
          <w:szCs w:val="28"/>
        </w:rPr>
      </w:pPr>
      <w:r w:rsidRPr="00F0732E">
        <w:rPr>
          <w:rFonts w:cs="Calibri"/>
          <w:sz w:val="28"/>
          <w:szCs w:val="28"/>
        </w:rPr>
        <w:t>K propagácii štúdia doma a predovšetkým v zahraničí pozitívne prispieva fakt, že STU je nositeľom ocenení ECST Label a DS Label.</w:t>
      </w:r>
    </w:p>
    <w:p w:rsidR="00B51749" w:rsidRPr="00F0732E" w:rsidRDefault="00B51749" w:rsidP="00B51749">
      <w:pPr>
        <w:pStyle w:val="Odsekzoznamu"/>
        <w:tabs>
          <w:tab w:val="left" w:pos="-284"/>
        </w:tabs>
        <w:spacing w:after="0" w:line="240" w:lineRule="auto"/>
        <w:ind w:left="0"/>
        <w:rPr>
          <w:rFonts w:ascii="Cambria" w:hAnsi="Cambria" w:cs="Calibri"/>
          <w:b/>
          <w:sz w:val="28"/>
          <w:szCs w:val="28"/>
        </w:rPr>
      </w:pPr>
    </w:p>
    <w:p w:rsidR="00B51749" w:rsidRPr="00F0732E" w:rsidRDefault="00B51749" w:rsidP="00B51749">
      <w:pPr>
        <w:pStyle w:val="Odsekzoznamu"/>
        <w:tabs>
          <w:tab w:val="left" w:pos="-284"/>
        </w:tabs>
        <w:spacing w:line="240" w:lineRule="auto"/>
        <w:ind w:left="0"/>
        <w:rPr>
          <w:rFonts w:ascii="Cambria" w:hAnsi="Cambria"/>
          <w:b/>
          <w:sz w:val="28"/>
          <w:szCs w:val="28"/>
        </w:rPr>
      </w:pPr>
    </w:p>
    <w:p w:rsidR="00B51749" w:rsidRPr="00F0732E" w:rsidRDefault="00B51749" w:rsidP="00B51749">
      <w:pPr>
        <w:pStyle w:val="Nadpis3"/>
        <w:rPr>
          <w:rFonts w:ascii="Cambria" w:hAnsi="Cambria"/>
          <w:color w:val="auto"/>
          <w:sz w:val="28"/>
          <w:szCs w:val="28"/>
        </w:rPr>
      </w:pPr>
      <w:bookmarkStart w:id="13" w:name="_Toc413009316"/>
      <w:r w:rsidRPr="00F0732E">
        <w:rPr>
          <w:rFonts w:ascii="Cambria" w:hAnsi="Cambria"/>
          <w:color w:val="auto"/>
          <w:sz w:val="28"/>
          <w:szCs w:val="28"/>
        </w:rPr>
        <w:t>Prijímacie konanie na prvý stupeň štúdia</w:t>
      </w:r>
      <w:bookmarkEnd w:id="13"/>
    </w:p>
    <w:p w:rsidR="00B51749" w:rsidRPr="00DF0142" w:rsidRDefault="00B51749" w:rsidP="00B51749">
      <w:pPr>
        <w:pStyle w:val="Odsekzoznamu"/>
        <w:spacing w:line="240" w:lineRule="auto"/>
        <w:ind w:left="0"/>
        <w:rPr>
          <w:rFonts w:ascii="Cambria" w:hAnsi="Cambria"/>
          <w:color w:val="FF0000"/>
          <w:sz w:val="28"/>
          <w:szCs w:val="28"/>
        </w:rPr>
      </w:pPr>
    </w:p>
    <w:p w:rsidR="00DF0142" w:rsidRPr="00DF0142" w:rsidRDefault="00DF0142" w:rsidP="00DF0142">
      <w:pPr>
        <w:rPr>
          <w:rFonts w:asciiTheme="majorHAnsi" w:hAnsiTheme="majorHAnsi" w:cs="Calibri"/>
          <w:sz w:val="28"/>
          <w:szCs w:val="28"/>
        </w:rPr>
      </w:pPr>
      <w:r w:rsidRPr="00DF0142">
        <w:rPr>
          <w:rFonts w:asciiTheme="majorHAnsi" w:hAnsiTheme="majorHAnsi" w:cs="Calibri"/>
          <w:sz w:val="28"/>
          <w:szCs w:val="28"/>
        </w:rPr>
        <w:t xml:space="preserve">Na prvý stupeň štúdia bolo pre ak. rok 2014/2015 plánovaných prijať celkovo 6260 uchádzačov; prihlásených bolo 7931 uchádzačov; z toho bolo prijatých 6660. </w:t>
      </w:r>
      <w:r w:rsidRPr="00DF0142">
        <w:rPr>
          <w:rFonts w:asciiTheme="majorHAnsi" w:hAnsiTheme="majorHAnsi" w:cs="Calibri"/>
          <w:b/>
          <w:sz w:val="28"/>
          <w:szCs w:val="28"/>
        </w:rPr>
        <w:t>Celkovo sa na STU v akademickom roku 2014/2014 zapísalo na prvom stupni štúdia 4473 uchádzačov.</w:t>
      </w:r>
    </w:p>
    <w:p w:rsidR="0000089C" w:rsidRDefault="00DF0142" w:rsidP="00060C2B">
      <w:pPr>
        <w:jc w:val="left"/>
        <w:rPr>
          <w:rFonts w:cs="Calibri"/>
          <w:sz w:val="28"/>
          <w:szCs w:val="28"/>
        </w:rPr>
      </w:pPr>
      <w:r w:rsidRPr="00DF0142">
        <w:rPr>
          <w:rFonts w:asciiTheme="majorHAnsi" w:hAnsiTheme="majorHAnsi" w:cs="Calibri"/>
          <w:sz w:val="28"/>
          <w:szCs w:val="28"/>
        </w:rPr>
        <w:lastRenderedPageBreak/>
        <w:t xml:space="preserve">Tabuľka </w:t>
      </w:r>
      <w:r>
        <w:rPr>
          <w:rFonts w:asciiTheme="majorHAnsi" w:hAnsiTheme="majorHAnsi" w:cs="Calibri"/>
          <w:sz w:val="28"/>
          <w:szCs w:val="28"/>
        </w:rPr>
        <w:t>3.</w:t>
      </w:r>
      <w:r w:rsidRPr="00DF0142">
        <w:rPr>
          <w:rFonts w:asciiTheme="majorHAnsi" w:hAnsiTheme="majorHAnsi" w:cs="Calibri"/>
          <w:sz w:val="28"/>
          <w:szCs w:val="28"/>
        </w:rPr>
        <w:t xml:space="preserve">16 dáva celkový prehľad o prijímacom konaní na prvom stupni štúdia. Z tabuľky je zrejmé, že záujem uchádzačov o štúdium ako aj počty prijatých uchádzačov síce presahujú plánované kapacity, ale tento fakt sa nepremieta do počtov </w:t>
      </w:r>
      <w:r w:rsidRPr="00DF0142">
        <w:rPr>
          <w:rFonts w:asciiTheme="majorHAnsi" w:hAnsiTheme="majorHAnsi" w:cs="Calibri"/>
          <w:b/>
          <w:sz w:val="28"/>
          <w:szCs w:val="28"/>
        </w:rPr>
        <w:t xml:space="preserve">skutočne zapísaných študentov, ktoré dlhodobo oscilujú na úrovni 65% z prijatých uchádzačov </w:t>
      </w:r>
      <w:r w:rsidRPr="00DF0142">
        <w:rPr>
          <w:rFonts w:asciiTheme="majorHAnsi" w:hAnsiTheme="majorHAnsi" w:cs="Calibri"/>
          <w:sz w:val="28"/>
          <w:szCs w:val="28"/>
        </w:rPr>
        <w:t xml:space="preserve">(Graf </w:t>
      </w:r>
      <w:r>
        <w:rPr>
          <w:rFonts w:asciiTheme="majorHAnsi" w:hAnsiTheme="majorHAnsi" w:cs="Calibri"/>
          <w:sz w:val="28"/>
          <w:szCs w:val="28"/>
        </w:rPr>
        <w:t>3.</w:t>
      </w:r>
      <w:r w:rsidRPr="00DF0142">
        <w:rPr>
          <w:rFonts w:asciiTheme="majorHAnsi" w:hAnsiTheme="majorHAnsi" w:cs="Calibri"/>
          <w:sz w:val="28"/>
          <w:szCs w:val="28"/>
        </w:rPr>
        <w:t>10). Dôvodom je nízka kvalita uchádzačov ako aj fakt, že uchádzači sú často prijatí na viac študijných programov naraz (a to aj v rámci STU) ale logicky sa zapíšu len na jeden z nich</w:t>
      </w:r>
      <w:r w:rsidRPr="00044257">
        <w:rPr>
          <w:rFonts w:asciiTheme="majorHAnsi" w:hAnsiTheme="majorHAnsi" w:cs="Calibri"/>
        </w:rPr>
        <w:t>.</w:t>
      </w:r>
    </w:p>
    <w:p w:rsidR="0000089C" w:rsidRDefault="0000089C" w:rsidP="00060C2B">
      <w:pPr>
        <w:jc w:val="left"/>
        <w:rPr>
          <w:rFonts w:cs="Calibri"/>
          <w:sz w:val="28"/>
          <w:szCs w:val="28"/>
        </w:rPr>
      </w:pPr>
    </w:p>
    <w:p w:rsidR="00A92126" w:rsidRPr="00060C2B" w:rsidRDefault="00B51749" w:rsidP="00060C2B">
      <w:pPr>
        <w:jc w:val="left"/>
        <w:rPr>
          <w:rFonts w:cs="Calibri"/>
          <w:b/>
          <w:iCs/>
          <w:sz w:val="28"/>
          <w:szCs w:val="28"/>
        </w:rPr>
      </w:pPr>
      <w:r w:rsidRPr="00F0732E">
        <w:rPr>
          <w:rFonts w:cs="Calibri"/>
          <w:b/>
          <w:bCs/>
          <w:iCs/>
          <w:sz w:val="28"/>
          <w:szCs w:val="28"/>
        </w:rPr>
        <w:t xml:space="preserve">Tabuľka 3.16: </w:t>
      </w:r>
      <w:r w:rsidRPr="00F0732E">
        <w:rPr>
          <w:rFonts w:cs="Calibri"/>
          <w:b/>
          <w:iCs/>
          <w:sz w:val="28"/>
          <w:szCs w:val="28"/>
        </w:rPr>
        <w:t>Prehľad prijímacieho konania na prvý stupeň štúdia na akad. rok 2014/2015</w:t>
      </w:r>
    </w:p>
    <w:tbl>
      <w:tblPr>
        <w:tblW w:w="9280" w:type="dxa"/>
        <w:tblInd w:w="55" w:type="dxa"/>
        <w:tblCellMar>
          <w:left w:w="70" w:type="dxa"/>
          <w:right w:w="70" w:type="dxa"/>
        </w:tblCellMar>
        <w:tblLook w:val="04A0" w:firstRow="1" w:lastRow="0" w:firstColumn="1" w:lastColumn="0" w:noHBand="0" w:noVBand="1"/>
      </w:tblPr>
      <w:tblGrid>
        <w:gridCol w:w="1116"/>
        <w:gridCol w:w="1493"/>
        <w:gridCol w:w="1467"/>
        <w:gridCol w:w="960"/>
        <w:gridCol w:w="960"/>
        <w:gridCol w:w="960"/>
        <w:gridCol w:w="1420"/>
        <w:gridCol w:w="960"/>
        <w:gridCol w:w="780"/>
      </w:tblGrid>
      <w:tr w:rsidR="00A92126" w:rsidRPr="00C24476" w:rsidTr="0000089C">
        <w:trPr>
          <w:trHeight w:val="510"/>
        </w:trPr>
        <w:tc>
          <w:tcPr>
            <w:tcW w:w="960" w:type="dxa"/>
            <w:tcBorders>
              <w:top w:val="single" w:sz="4" w:space="0" w:color="auto"/>
              <w:left w:val="single" w:sz="4" w:space="0" w:color="auto"/>
              <w:bottom w:val="nil"/>
              <w:right w:val="single" w:sz="4" w:space="0" w:color="auto"/>
            </w:tcBorders>
            <w:vAlign w:val="center"/>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Fakulta</w:t>
            </w:r>
          </w:p>
        </w:tc>
        <w:tc>
          <w:tcPr>
            <w:tcW w:w="1340" w:type="dxa"/>
            <w:tcBorders>
              <w:top w:val="single" w:sz="4" w:space="0" w:color="auto"/>
              <w:left w:val="nil"/>
              <w:bottom w:val="single" w:sz="4" w:space="0" w:color="auto"/>
              <w:right w:val="single" w:sz="4" w:space="0" w:color="auto"/>
            </w:tcBorders>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Plánované počty (Pp)</w:t>
            </w:r>
          </w:p>
        </w:tc>
        <w:tc>
          <w:tcPr>
            <w:tcW w:w="960" w:type="dxa"/>
            <w:tcBorders>
              <w:top w:val="single" w:sz="4" w:space="0" w:color="auto"/>
              <w:left w:val="nil"/>
              <w:bottom w:val="single" w:sz="4" w:space="0" w:color="auto"/>
              <w:right w:val="nil"/>
            </w:tcBorders>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Prihlásení (Ph)</w:t>
            </w:r>
          </w:p>
        </w:tc>
        <w:tc>
          <w:tcPr>
            <w:tcW w:w="96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Ph/Pp</w:t>
            </w:r>
          </w:p>
        </w:tc>
        <w:tc>
          <w:tcPr>
            <w:tcW w:w="960" w:type="dxa"/>
            <w:tcBorders>
              <w:top w:val="single" w:sz="4" w:space="0" w:color="auto"/>
              <w:left w:val="single" w:sz="4" w:space="0" w:color="auto"/>
              <w:bottom w:val="single" w:sz="4" w:space="0" w:color="auto"/>
              <w:right w:val="single" w:sz="4" w:space="0" w:color="auto"/>
            </w:tcBorders>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Prijatí (Pr)</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Pr/Pp</w:t>
            </w:r>
          </w:p>
        </w:tc>
        <w:tc>
          <w:tcPr>
            <w:tcW w:w="1420" w:type="dxa"/>
            <w:tcBorders>
              <w:top w:val="single" w:sz="4" w:space="0" w:color="auto"/>
              <w:left w:val="nil"/>
              <w:bottom w:val="single" w:sz="4" w:space="0" w:color="auto"/>
              <w:right w:val="single" w:sz="4" w:space="0" w:color="auto"/>
            </w:tcBorders>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Zapísaní (Z)</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Z/Pr</w:t>
            </w:r>
          </w:p>
        </w:tc>
        <w:tc>
          <w:tcPr>
            <w:tcW w:w="760" w:type="dxa"/>
            <w:tcBorders>
              <w:top w:val="single" w:sz="4" w:space="0" w:color="auto"/>
              <w:left w:val="nil"/>
              <w:bottom w:val="single" w:sz="4" w:space="0" w:color="auto"/>
              <w:right w:val="single" w:sz="4" w:space="0" w:color="auto"/>
            </w:tcBorders>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Z/Pp</w:t>
            </w:r>
          </w:p>
        </w:tc>
      </w:tr>
      <w:tr w:rsidR="00A92126" w:rsidRPr="00C24476" w:rsidTr="0000089C">
        <w:trPr>
          <w:trHeight w:val="25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SvF</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870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1 413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1,62</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1 309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1,50</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943</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0,72</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1,08</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SjF</w:t>
            </w:r>
          </w:p>
        </w:tc>
        <w:tc>
          <w:tcPr>
            <w:tcW w:w="1340" w:type="dxa"/>
            <w:tcBorders>
              <w:top w:val="nil"/>
              <w:left w:val="nil"/>
              <w:bottom w:val="single" w:sz="4" w:space="0" w:color="auto"/>
              <w:right w:val="single" w:sz="4" w:space="0" w:color="auto"/>
            </w:tcBorders>
            <w:shd w:val="clear" w:color="auto" w:fill="FFFFF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550</w:t>
            </w:r>
          </w:p>
        </w:tc>
        <w:tc>
          <w:tcPr>
            <w:tcW w:w="960" w:type="dxa"/>
            <w:tcBorders>
              <w:top w:val="nil"/>
              <w:left w:val="nil"/>
              <w:bottom w:val="single" w:sz="4" w:space="0" w:color="auto"/>
              <w:right w:val="single" w:sz="4" w:space="0" w:color="auto"/>
            </w:tcBorders>
            <w:shd w:val="clear" w:color="auto" w:fill="FFFFF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689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1,25</w:t>
            </w:r>
          </w:p>
        </w:tc>
        <w:tc>
          <w:tcPr>
            <w:tcW w:w="960" w:type="dxa"/>
            <w:tcBorders>
              <w:top w:val="nil"/>
              <w:left w:val="nil"/>
              <w:bottom w:val="single" w:sz="4" w:space="0" w:color="auto"/>
              <w:right w:val="single" w:sz="4" w:space="0" w:color="auto"/>
            </w:tcBorders>
            <w:shd w:val="clear" w:color="auto" w:fill="FFFFF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597</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1,09</w:t>
            </w:r>
          </w:p>
        </w:tc>
        <w:tc>
          <w:tcPr>
            <w:tcW w:w="1420" w:type="dxa"/>
            <w:tcBorders>
              <w:top w:val="nil"/>
              <w:left w:val="nil"/>
              <w:bottom w:val="single" w:sz="4" w:space="0" w:color="auto"/>
              <w:right w:val="single" w:sz="4" w:space="0" w:color="auto"/>
            </w:tcBorders>
            <w:shd w:val="clear" w:color="auto" w:fill="FFFFF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431</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0,72</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0,78</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FEI</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1200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1 200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1,00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992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0,83</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689</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0,69</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0,57</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FCHPT</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1500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1 569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1,05</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1 455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0,97</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738</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0,51</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0,49</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FA</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300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535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1,78</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253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0,84</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218</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0,86</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0,73</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MTF</w:t>
            </w:r>
          </w:p>
        </w:tc>
        <w:tc>
          <w:tcPr>
            <w:tcW w:w="1340" w:type="dxa"/>
            <w:tcBorders>
              <w:top w:val="nil"/>
              <w:left w:val="nil"/>
              <w:bottom w:val="single" w:sz="4" w:space="0" w:color="auto"/>
              <w:right w:val="single" w:sz="4" w:space="0" w:color="auto"/>
            </w:tcBorders>
            <w:shd w:val="clear" w:color="auto" w:fill="FFFFF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1000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1 383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1,38</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1 310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1,31</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965</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0,74</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0,97</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FIIT</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790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1 082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1,37</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689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0,87</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443</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0,64</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0,56</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ÚM</w:t>
            </w:r>
          </w:p>
        </w:tc>
        <w:tc>
          <w:tcPr>
            <w:tcW w:w="134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50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60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1,20</w:t>
            </w:r>
          </w:p>
        </w:tc>
        <w:tc>
          <w:tcPr>
            <w:tcW w:w="9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55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1,10</w:t>
            </w:r>
          </w:p>
        </w:tc>
        <w:tc>
          <w:tcPr>
            <w:tcW w:w="142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46</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0,84</w:t>
            </w:r>
          </w:p>
        </w:tc>
        <w:tc>
          <w:tcPr>
            <w:tcW w:w="760" w:type="dxa"/>
            <w:tcBorders>
              <w:top w:val="nil"/>
              <w:left w:val="nil"/>
              <w:bottom w:val="single" w:sz="4" w:space="0" w:color="auto"/>
              <w:right w:val="single" w:sz="4" w:space="0" w:color="auto"/>
            </w:tcBorders>
            <w:noWrap/>
            <w:vAlign w:val="bottom"/>
            <w:hideMark/>
          </w:tcPr>
          <w:p w:rsidR="00A92126" w:rsidRPr="00C24476" w:rsidRDefault="00A92126" w:rsidP="0000089C">
            <w:pPr>
              <w:jc w:val="center"/>
              <w:rPr>
                <w:rFonts w:asciiTheme="majorHAnsi" w:eastAsia="Times New Roman" w:hAnsiTheme="majorHAnsi" w:cs="Arial"/>
                <w:sz w:val="28"/>
                <w:szCs w:val="28"/>
                <w:lang w:eastAsia="sk-SK"/>
              </w:rPr>
            </w:pPr>
            <w:r w:rsidRPr="00C24476">
              <w:rPr>
                <w:rFonts w:asciiTheme="majorHAnsi" w:eastAsia="Times New Roman" w:hAnsiTheme="majorHAnsi" w:cs="Arial"/>
                <w:sz w:val="28"/>
                <w:szCs w:val="28"/>
                <w:lang w:eastAsia="sk-SK"/>
              </w:rPr>
              <w:t>0,92</w:t>
            </w:r>
          </w:p>
        </w:tc>
      </w:tr>
      <w:tr w:rsidR="00A92126" w:rsidRPr="00C24476" w:rsidTr="0000089C">
        <w:trPr>
          <w:trHeight w:val="255"/>
        </w:trPr>
        <w:tc>
          <w:tcPr>
            <w:tcW w:w="9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STU</w:t>
            </w:r>
          </w:p>
        </w:tc>
        <w:tc>
          <w:tcPr>
            <w:tcW w:w="134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6260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7 931</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1,27</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6 660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1,06</w:t>
            </w:r>
          </w:p>
        </w:tc>
        <w:tc>
          <w:tcPr>
            <w:tcW w:w="142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4 473</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0,67</w:t>
            </w:r>
          </w:p>
        </w:tc>
        <w:tc>
          <w:tcPr>
            <w:tcW w:w="760" w:type="dxa"/>
            <w:tcBorders>
              <w:top w:val="nil"/>
              <w:left w:val="nil"/>
              <w:bottom w:val="single" w:sz="4" w:space="0" w:color="auto"/>
              <w:right w:val="single" w:sz="4" w:space="0" w:color="auto"/>
            </w:tcBorders>
            <w:shd w:val="clear" w:color="auto" w:fill="BFBFBF" w:themeFill="background1" w:themeFillShade="BF"/>
            <w:noWrap/>
            <w:vAlign w:val="bottom"/>
            <w:hideMark/>
          </w:tcPr>
          <w:p w:rsidR="00A92126" w:rsidRPr="00C24476" w:rsidRDefault="00A92126" w:rsidP="0000089C">
            <w:pPr>
              <w:jc w:val="center"/>
              <w:rPr>
                <w:rFonts w:asciiTheme="majorHAnsi" w:eastAsia="Times New Roman" w:hAnsiTheme="majorHAnsi" w:cs="Arial"/>
                <w:b/>
                <w:bCs/>
                <w:sz w:val="28"/>
                <w:szCs w:val="28"/>
                <w:lang w:eastAsia="sk-SK"/>
              </w:rPr>
            </w:pPr>
            <w:r w:rsidRPr="00C24476">
              <w:rPr>
                <w:rFonts w:asciiTheme="majorHAnsi" w:eastAsia="Times New Roman" w:hAnsiTheme="majorHAnsi" w:cs="Arial"/>
                <w:b/>
                <w:bCs/>
                <w:sz w:val="28"/>
                <w:szCs w:val="28"/>
                <w:lang w:eastAsia="sk-SK"/>
              </w:rPr>
              <w:t>0,71</w:t>
            </w:r>
          </w:p>
        </w:tc>
      </w:tr>
    </w:tbl>
    <w:p w:rsidR="00A92126" w:rsidRPr="00C24476" w:rsidRDefault="00A92126" w:rsidP="00A92126">
      <w:pPr>
        <w:rPr>
          <w:rFonts w:asciiTheme="majorHAnsi" w:eastAsia="Times New Roman" w:hAnsiTheme="majorHAnsi" w:cs="Arial"/>
          <w:bCs/>
          <w:sz w:val="28"/>
          <w:szCs w:val="28"/>
          <w:lang w:eastAsia="sk-SK"/>
        </w:rPr>
      </w:pPr>
      <w:r w:rsidRPr="00C24476">
        <w:rPr>
          <w:rFonts w:asciiTheme="majorHAnsi" w:eastAsia="Times New Roman" w:hAnsiTheme="majorHAnsi" w:cs="Arial"/>
          <w:bCs/>
          <w:sz w:val="28"/>
          <w:szCs w:val="28"/>
          <w:lang w:eastAsia="sk-SK"/>
        </w:rPr>
        <w:t>Vysvetlivky: Pp - plánované počty; Ph -prihlásení uchádzači; Pr - prijatí uchádzači; Z – zapísaní</w:t>
      </w:r>
    </w:p>
    <w:p w:rsidR="00B51749" w:rsidRPr="00F0732E" w:rsidRDefault="00B51749" w:rsidP="00B51749">
      <w:pPr>
        <w:rPr>
          <w:rFonts w:eastAsia="Times New Roman" w:cs="Arial"/>
          <w:bCs/>
          <w:sz w:val="28"/>
          <w:szCs w:val="28"/>
          <w:lang w:eastAsia="sk-SK"/>
        </w:rPr>
      </w:pPr>
    </w:p>
    <w:p w:rsidR="00B51749" w:rsidRPr="00F0732E" w:rsidRDefault="00B51749" w:rsidP="00B51749">
      <w:pPr>
        <w:rPr>
          <w:rFonts w:eastAsia="Times New Roman" w:cs="Arial"/>
          <w:bCs/>
          <w:sz w:val="28"/>
          <w:szCs w:val="28"/>
          <w:lang w:eastAsia="sk-SK"/>
        </w:rPr>
      </w:pPr>
    </w:p>
    <w:p w:rsidR="00B51749" w:rsidRPr="00F0732E" w:rsidRDefault="00B51749" w:rsidP="00B51749">
      <w:pPr>
        <w:rPr>
          <w:rFonts w:cs="Calibri"/>
          <w:b/>
          <w:sz w:val="28"/>
          <w:szCs w:val="28"/>
        </w:rPr>
      </w:pPr>
      <w:r w:rsidRPr="00F0732E">
        <w:rPr>
          <w:rFonts w:cs="Calibri"/>
          <w:b/>
          <w:sz w:val="28"/>
          <w:szCs w:val="28"/>
        </w:rPr>
        <w:t>Graf 3.10: Pomer zapísaných a prijatých študentov prvého stupňa štúdia na STU za posledných päť rokov</w:t>
      </w:r>
    </w:p>
    <w:p w:rsidR="00B51749" w:rsidRPr="00F0732E" w:rsidRDefault="00B51749" w:rsidP="00B51749">
      <w:pPr>
        <w:rPr>
          <w:rFonts w:cs="Calibri"/>
          <w:i/>
          <w:sz w:val="28"/>
          <w:szCs w:val="28"/>
        </w:rPr>
      </w:pPr>
      <w:r>
        <w:rPr>
          <w:noProof/>
          <w:sz w:val="28"/>
          <w:szCs w:val="28"/>
          <w:lang w:eastAsia="sk-SK"/>
        </w:rPr>
        <w:drawing>
          <wp:inline distT="0" distB="0" distL="0" distR="0">
            <wp:extent cx="4572000" cy="2743200"/>
            <wp:effectExtent l="0" t="0" r="0" b="0"/>
            <wp:docPr id="36" name="Graf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Na druhej strane je potešiteľné, že </w:t>
      </w:r>
      <w:r w:rsidRPr="00F0732E">
        <w:rPr>
          <w:rFonts w:cs="Calibri"/>
          <w:b/>
          <w:sz w:val="28"/>
          <w:szCs w:val="28"/>
        </w:rPr>
        <w:t>percento zapísaných študentov na STU z celkového počtu maturantov v SR je dlhodobo rastúce, resp. stabilné,</w:t>
      </w:r>
      <w:r w:rsidRPr="00F0732E">
        <w:rPr>
          <w:rFonts w:cs="Calibri"/>
          <w:sz w:val="28"/>
          <w:szCs w:val="28"/>
        </w:rPr>
        <w:t xml:space="preserve"> a to aj napriek faktu, že počet maturantov v Slovenskej republike neustále klesá – Tabuľka 3.17.</w:t>
      </w:r>
    </w:p>
    <w:p w:rsidR="00B51749" w:rsidRPr="00F0732E" w:rsidRDefault="00B51749" w:rsidP="00B51749">
      <w:pPr>
        <w:rPr>
          <w:rFonts w:cs="Calibri"/>
          <w:sz w:val="28"/>
          <w:szCs w:val="28"/>
        </w:rPr>
      </w:pPr>
    </w:p>
    <w:p w:rsidR="00B51749" w:rsidRPr="00F0732E" w:rsidRDefault="00B51749" w:rsidP="00B51749">
      <w:pPr>
        <w:rPr>
          <w:rFonts w:cs="Calibri"/>
          <w:b/>
          <w:i/>
          <w:sz w:val="28"/>
          <w:szCs w:val="28"/>
        </w:rPr>
      </w:pPr>
      <w:r w:rsidRPr="00F0732E">
        <w:rPr>
          <w:rFonts w:cs="Calibri"/>
          <w:b/>
          <w:sz w:val="28"/>
          <w:szCs w:val="28"/>
        </w:rPr>
        <w:t>Tabuľka 3.17: Pomer zapísaných študentov na prvom stupni štúdia – denná forma, ktorí v predchádzajúcom školskom roku maturovali, k celkovému počtu maturantov v SR</w:t>
      </w:r>
    </w:p>
    <w:tbl>
      <w:tblPr>
        <w:tblW w:w="5880" w:type="dxa"/>
        <w:tblInd w:w="75" w:type="dxa"/>
        <w:tblCellMar>
          <w:left w:w="70" w:type="dxa"/>
          <w:right w:w="70" w:type="dxa"/>
        </w:tblCellMar>
        <w:tblLook w:val="04A0" w:firstRow="1" w:lastRow="0" w:firstColumn="1" w:lastColumn="0" w:noHBand="0" w:noVBand="1"/>
      </w:tblPr>
      <w:tblGrid>
        <w:gridCol w:w="1518"/>
        <w:gridCol w:w="1553"/>
        <w:gridCol w:w="1470"/>
        <w:gridCol w:w="1553"/>
      </w:tblGrid>
      <w:tr w:rsidR="00B51749" w:rsidRPr="00F0732E" w:rsidTr="00447572">
        <w:trPr>
          <w:trHeight w:val="765"/>
        </w:trPr>
        <w:tc>
          <w:tcPr>
            <w:tcW w:w="1500" w:type="dxa"/>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Prijímacie konanie na akad. rok</w:t>
            </w:r>
          </w:p>
        </w:tc>
        <w:tc>
          <w:tcPr>
            <w:tcW w:w="14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Počet maturantov SR</w:t>
            </w:r>
          </w:p>
        </w:tc>
        <w:tc>
          <w:tcPr>
            <w:tcW w:w="14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Z toho počet zapísaných na STU</w:t>
            </w:r>
          </w:p>
        </w:tc>
        <w:tc>
          <w:tcPr>
            <w:tcW w:w="154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zapísaných </w:t>
            </w:r>
          </w:p>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z maturantov SR</w:t>
            </w:r>
          </w:p>
        </w:tc>
      </w:tr>
      <w:tr w:rsidR="00B51749" w:rsidRPr="00F0732E" w:rsidTr="00447572">
        <w:trPr>
          <w:trHeight w:val="283"/>
        </w:trPr>
        <w:tc>
          <w:tcPr>
            <w:tcW w:w="150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2010/2011</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59 716</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3 305</w:t>
            </w:r>
          </w:p>
        </w:tc>
        <w:tc>
          <w:tcPr>
            <w:tcW w:w="154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5,5</w:t>
            </w:r>
          </w:p>
        </w:tc>
      </w:tr>
      <w:tr w:rsidR="00B51749" w:rsidRPr="00F0732E" w:rsidTr="00447572">
        <w:trPr>
          <w:trHeight w:val="283"/>
        </w:trPr>
        <w:tc>
          <w:tcPr>
            <w:tcW w:w="150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2011/2012</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56 476</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3 181</w:t>
            </w:r>
          </w:p>
        </w:tc>
        <w:tc>
          <w:tcPr>
            <w:tcW w:w="154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5,6</w:t>
            </w:r>
          </w:p>
        </w:tc>
      </w:tr>
      <w:tr w:rsidR="00B51749" w:rsidRPr="00F0732E" w:rsidTr="00447572">
        <w:trPr>
          <w:trHeight w:val="283"/>
        </w:trPr>
        <w:tc>
          <w:tcPr>
            <w:tcW w:w="150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2012/2013</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55 084</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3 460</w:t>
            </w:r>
          </w:p>
        </w:tc>
        <w:tc>
          <w:tcPr>
            <w:tcW w:w="154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6,3</w:t>
            </w:r>
          </w:p>
        </w:tc>
      </w:tr>
      <w:tr w:rsidR="00B51749" w:rsidRPr="00F0732E" w:rsidTr="00447572">
        <w:trPr>
          <w:trHeight w:val="283"/>
        </w:trPr>
        <w:tc>
          <w:tcPr>
            <w:tcW w:w="150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2013/2014</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52 093</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3 164</w:t>
            </w:r>
          </w:p>
        </w:tc>
        <w:tc>
          <w:tcPr>
            <w:tcW w:w="154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6,1</w:t>
            </w:r>
          </w:p>
        </w:tc>
      </w:tr>
      <w:tr w:rsidR="00B51749" w:rsidRPr="00F0732E" w:rsidTr="00447572">
        <w:trPr>
          <w:trHeight w:val="283"/>
        </w:trPr>
        <w:tc>
          <w:tcPr>
            <w:tcW w:w="150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2014/2015</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46 450</w:t>
            </w:r>
          </w:p>
        </w:tc>
        <w:tc>
          <w:tcPr>
            <w:tcW w:w="142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2 747</w:t>
            </w:r>
          </w:p>
        </w:tc>
        <w:tc>
          <w:tcPr>
            <w:tcW w:w="154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5,9</w:t>
            </w:r>
          </w:p>
        </w:tc>
      </w:tr>
    </w:tbl>
    <w:p w:rsidR="00B51749" w:rsidRPr="00F0732E" w:rsidRDefault="00B51749" w:rsidP="00B51749">
      <w:pPr>
        <w:rPr>
          <w:rFonts w:cs="Arial"/>
          <w:sz w:val="28"/>
          <w:szCs w:val="28"/>
          <w:lang w:eastAsia="sk-SK"/>
        </w:rPr>
      </w:pPr>
      <w:r w:rsidRPr="00F0732E">
        <w:rPr>
          <w:rFonts w:cs="Arial"/>
          <w:sz w:val="28"/>
          <w:szCs w:val="28"/>
          <w:lang w:eastAsia="sk-SK"/>
        </w:rPr>
        <w:t>Vysvetlivky:</w:t>
      </w:r>
    </w:p>
    <w:p w:rsidR="00B51749" w:rsidRPr="00F0732E" w:rsidRDefault="00B51749" w:rsidP="00B51749">
      <w:pPr>
        <w:rPr>
          <w:rFonts w:cs="Calibri"/>
          <w:sz w:val="28"/>
          <w:szCs w:val="28"/>
        </w:rPr>
      </w:pPr>
      <w:r w:rsidRPr="00F0732E">
        <w:rPr>
          <w:rFonts w:cs="Arial"/>
          <w:sz w:val="28"/>
          <w:szCs w:val="28"/>
          <w:lang w:eastAsia="sk-SK"/>
        </w:rPr>
        <w:t>Počet zapísaných z novoprijatých do 1. roč. prvého stupňa štúdia, ktorí maturovali v predchádzajúcom školskom roku; zdroj: AIS</w:t>
      </w:r>
    </w:p>
    <w:p w:rsidR="00B51749" w:rsidRPr="00F0732E" w:rsidRDefault="00B51749" w:rsidP="00B51749">
      <w:pPr>
        <w:rPr>
          <w:rFonts w:cs="Calibri"/>
          <w:sz w:val="28"/>
          <w:szCs w:val="28"/>
        </w:rPr>
      </w:pPr>
      <w:r w:rsidRPr="00F0732E">
        <w:rPr>
          <w:rFonts w:cs="Arial"/>
          <w:sz w:val="28"/>
          <w:szCs w:val="28"/>
          <w:lang w:eastAsia="sk-SK"/>
        </w:rPr>
        <w:t>Počet maturantov SR v predchádzajúcom školskom roku – denné štúdium; zdroj: Štatistická ročenka UIPŠ, www.uips.sk</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Základnou podmienkou prijatia na prvý stupeň štúdia na STU je absolvovanie stredoškolského štúdia ukončeného maturitnou skúškou a na niektorých súčastiach univerzity aj absolvovanie prijímacej skúšky. Ak prijímacie konanie prebehlo bez prijímacej skúšky, kvalitatívne poradie bolo tvorené kombináciou viacerých kvalitatívnych kritérií, ako: celkové študijné výsledky zo strednej školy, dosiahnuté študijné výsledky z profilujúcich predmetov (matematika a fyzika), dosiahnuté študijné výsledky na externej maturitnej skúške z matematiky, typom absolvovanej strednej školy a záujmu o štúdium (účasť a umiestnenie na odborných súťažiach). </w:t>
      </w:r>
      <w:r w:rsidRPr="00F0732E">
        <w:rPr>
          <w:rFonts w:cs="Calibri"/>
          <w:b/>
          <w:sz w:val="28"/>
          <w:szCs w:val="28"/>
        </w:rPr>
        <w:t>Dve fakulty STU využili v prijímacom konaní výsledky testov, ktoré boli zabezpečované nezávislou inštitúciou</w:t>
      </w:r>
      <w:r w:rsidRPr="00F0732E">
        <w:rPr>
          <w:rFonts w:cs="Calibri"/>
          <w:sz w:val="28"/>
          <w:szCs w:val="28"/>
        </w:rPr>
        <w:t xml:space="preserve"> (SCIO, s. r. o.) – FIIT písomné testy z matematiky a FA testy všeobecných študijných predpokladov.</w:t>
      </w:r>
    </w:p>
    <w:p w:rsidR="00B51749" w:rsidRPr="00F0732E" w:rsidRDefault="00B51749" w:rsidP="00B51749">
      <w:pPr>
        <w:rPr>
          <w:rFonts w:cs="Calibri"/>
          <w:sz w:val="28"/>
          <w:szCs w:val="28"/>
        </w:rPr>
      </w:pPr>
      <w:r w:rsidRPr="00F0732E">
        <w:rPr>
          <w:rFonts w:cs="Calibri"/>
          <w:sz w:val="28"/>
          <w:szCs w:val="28"/>
        </w:rPr>
        <w:lastRenderedPageBreak/>
        <w:t xml:space="preserve">O štúdium sa maturanti mohli uchádzať v dvoch kolách prijímacieho </w:t>
      </w:r>
      <w:r w:rsidRPr="00F0732E">
        <w:rPr>
          <w:rFonts w:cs="Calibri"/>
          <w:sz w:val="28"/>
          <w:szCs w:val="28"/>
          <w:shd w:val="clear" w:color="auto" w:fill="FFFFFF"/>
        </w:rPr>
        <w:t xml:space="preserve">konania </w:t>
      </w:r>
      <w:r w:rsidR="00F6626B">
        <w:rPr>
          <w:rFonts w:cs="Calibri"/>
          <w:sz w:val="28"/>
          <w:szCs w:val="28"/>
          <w:shd w:val="clear" w:color="auto" w:fill="FFFFFF"/>
        </w:rPr>
        <w:t>(</w:t>
      </w:r>
      <w:r w:rsidRPr="00F0732E">
        <w:rPr>
          <w:rFonts w:cs="Calibri"/>
          <w:sz w:val="28"/>
          <w:szCs w:val="28"/>
          <w:shd w:val="clear" w:color="auto" w:fill="FFFFFF"/>
        </w:rPr>
        <w:t>okrem FA a</w:t>
      </w:r>
      <w:r w:rsidR="00F6626B">
        <w:rPr>
          <w:rFonts w:cs="Calibri"/>
          <w:sz w:val="28"/>
          <w:szCs w:val="28"/>
          <w:shd w:val="clear" w:color="auto" w:fill="FFFFFF"/>
        </w:rPr>
        <w:t> </w:t>
      </w:r>
      <w:r w:rsidRPr="00F0732E">
        <w:rPr>
          <w:rFonts w:cs="Calibri"/>
          <w:sz w:val="28"/>
          <w:szCs w:val="28"/>
          <w:shd w:val="clear" w:color="auto" w:fill="FFFFFF"/>
        </w:rPr>
        <w:t>FIIT</w:t>
      </w:r>
      <w:r w:rsidR="00F6626B">
        <w:rPr>
          <w:rFonts w:cs="Calibri"/>
          <w:sz w:val="28"/>
          <w:szCs w:val="28"/>
          <w:shd w:val="clear" w:color="auto" w:fill="FFFFFF"/>
        </w:rPr>
        <w:t>)</w:t>
      </w:r>
      <w:r w:rsidRPr="00F0732E">
        <w:rPr>
          <w:rFonts w:cs="Calibri"/>
          <w:sz w:val="28"/>
          <w:szCs w:val="28"/>
          <w:shd w:val="clear" w:color="auto" w:fill="FFFFFF"/>
        </w:rPr>
        <w:t>.</w:t>
      </w:r>
      <w:r w:rsidRPr="00F0732E">
        <w:rPr>
          <w:rFonts w:cs="Calibri"/>
          <w:sz w:val="28"/>
          <w:szCs w:val="28"/>
        </w:rPr>
        <w:t xml:space="preserve"> Prijímacie konanie na externú formu štúdia </w:t>
      </w:r>
      <w:r w:rsidR="00F6626B">
        <w:rPr>
          <w:rFonts w:cs="Calibri"/>
          <w:sz w:val="28"/>
          <w:szCs w:val="28"/>
        </w:rPr>
        <w:t xml:space="preserve">sa </w:t>
      </w:r>
      <w:r w:rsidRPr="00F0732E">
        <w:rPr>
          <w:rFonts w:cs="Calibri"/>
          <w:sz w:val="28"/>
          <w:szCs w:val="28"/>
        </w:rPr>
        <w:t xml:space="preserve">v akad. roku 2014/2015 </w:t>
      </w:r>
      <w:r w:rsidR="00F6626B">
        <w:rPr>
          <w:rFonts w:cs="Calibri"/>
          <w:sz w:val="28"/>
          <w:szCs w:val="28"/>
        </w:rPr>
        <w:t>nerealizovalo</w:t>
      </w:r>
      <w:r w:rsidRPr="00F0732E">
        <w:rPr>
          <w:rFonts w:cs="Calibri"/>
          <w:sz w:val="28"/>
          <w:szCs w:val="28"/>
        </w:rPr>
        <w:t>.</w:t>
      </w:r>
    </w:p>
    <w:p w:rsidR="00B51749" w:rsidRPr="00F0732E" w:rsidRDefault="00B51749" w:rsidP="00B51749">
      <w:pPr>
        <w:pStyle w:val="Odsekzoznamu"/>
        <w:spacing w:line="240" w:lineRule="auto"/>
        <w:ind w:left="0"/>
        <w:rPr>
          <w:rFonts w:ascii="Cambria" w:hAnsi="Cambria"/>
          <w:color w:val="FF0000"/>
          <w:sz w:val="28"/>
          <w:szCs w:val="28"/>
        </w:rPr>
      </w:pPr>
    </w:p>
    <w:p w:rsidR="00B51749" w:rsidRPr="00F0732E" w:rsidRDefault="00B51749" w:rsidP="00B51749">
      <w:pPr>
        <w:pStyle w:val="Nadpis3"/>
        <w:rPr>
          <w:rFonts w:ascii="Cambria" w:hAnsi="Cambria"/>
          <w:color w:val="auto"/>
          <w:sz w:val="28"/>
          <w:szCs w:val="28"/>
        </w:rPr>
      </w:pPr>
      <w:bookmarkStart w:id="14" w:name="_Toc413009317"/>
      <w:r w:rsidRPr="00F0732E">
        <w:rPr>
          <w:rFonts w:ascii="Cambria" w:hAnsi="Cambria"/>
          <w:color w:val="auto"/>
          <w:sz w:val="28"/>
          <w:szCs w:val="28"/>
        </w:rPr>
        <w:t>Prijímacie konanie na druhý stupeň štúdia</w:t>
      </w:r>
      <w:bookmarkEnd w:id="14"/>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rPr>
          <w:rFonts w:cs="Calibri"/>
          <w:sz w:val="28"/>
          <w:szCs w:val="28"/>
        </w:rPr>
      </w:pPr>
      <w:r w:rsidRPr="00F0732E">
        <w:rPr>
          <w:rFonts w:cs="Calibri"/>
          <w:sz w:val="28"/>
          <w:szCs w:val="28"/>
        </w:rPr>
        <w:t>Na druhý. stupeň štúdia bolo pre ak. rok 2014/2015 plánované prijať celkovo 2950 uchádzačov; prihlásených bolo 2637 uchádz</w:t>
      </w:r>
      <w:r w:rsidR="00B414BB">
        <w:rPr>
          <w:rFonts w:cs="Calibri"/>
          <w:sz w:val="28"/>
          <w:szCs w:val="28"/>
        </w:rPr>
        <w:t>ačov; z toho bolo prijatých 2319</w:t>
      </w:r>
      <w:r w:rsidRPr="00F0732E">
        <w:rPr>
          <w:rFonts w:cs="Calibri"/>
          <w:sz w:val="28"/>
          <w:szCs w:val="28"/>
        </w:rPr>
        <w:t xml:space="preserve">. </w:t>
      </w:r>
      <w:r w:rsidRPr="00F0732E">
        <w:rPr>
          <w:rFonts w:cs="Calibri"/>
          <w:b/>
          <w:sz w:val="28"/>
          <w:szCs w:val="28"/>
        </w:rPr>
        <w:t>Celkovo sa na STU v akademickom roku 2014/2015 zapísalo na druhom stupni štúdia 2084 uchádzačov.</w:t>
      </w:r>
      <w:r w:rsidRPr="00F0732E">
        <w:rPr>
          <w:rFonts w:cs="Calibri"/>
          <w:sz w:val="28"/>
          <w:szCs w:val="28"/>
        </w:rPr>
        <w:t xml:space="preserve"> Prehľad prijímacieho konania je uvedená v Tabuľke 3.18.</w:t>
      </w:r>
    </w:p>
    <w:p w:rsidR="00B51749" w:rsidRPr="00F0732E" w:rsidRDefault="00B51749" w:rsidP="00B51749">
      <w:pPr>
        <w:rPr>
          <w:rFonts w:cs="Calibri"/>
          <w:sz w:val="28"/>
          <w:szCs w:val="28"/>
        </w:rPr>
      </w:pPr>
      <w:r w:rsidRPr="00F0732E">
        <w:rPr>
          <w:rFonts w:cs="Calibri"/>
          <w:sz w:val="28"/>
          <w:szCs w:val="28"/>
        </w:rPr>
        <w:t xml:space="preserve">V rámci STU sa na inžinierske štúdium zapísalo </w:t>
      </w:r>
      <w:r w:rsidRPr="00F0732E">
        <w:rPr>
          <w:rFonts w:cs="Calibri"/>
          <w:sz w:val="28"/>
          <w:szCs w:val="28"/>
          <w:shd w:val="clear" w:color="auto" w:fill="FFFFFF"/>
        </w:rPr>
        <w:t xml:space="preserve">90 </w:t>
      </w:r>
      <w:r w:rsidRPr="00F0732E">
        <w:rPr>
          <w:rFonts w:cs="Calibri"/>
          <w:sz w:val="28"/>
          <w:szCs w:val="28"/>
        </w:rPr>
        <w:t xml:space="preserve">% prijatých uchádzačov, čo je stabilne veľmi vysoké percento. Graf 3.8 vyjadruje porovnanie za posledných 5 rokov. </w:t>
      </w:r>
    </w:p>
    <w:p w:rsidR="00B51749" w:rsidRPr="00F0732E" w:rsidRDefault="00B51749" w:rsidP="00B51749">
      <w:pPr>
        <w:rPr>
          <w:rFonts w:cs="Calibri"/>
          <w:sz w:val="28"/>
          <w:szCs w:val="28"/>
        </w:rPr>
      </w:pPr>
    </w:p>
    <w:p w:rsidR="00596EAE" w:rsidRPr="00044257" w:rsidRDefault="00B51749" w:rsidP="00596EAE">
      <w:pPr>
        <w:rPr>
          <w:rFonts w:asciiTheme="majorHAnsi" w:hAnsiTheme="majorHAnsi" w:cs="Calibri"/>
          <w:sz w:val="20"/>
          <w:szCs w:val="20"/>
        </w:rPr>
      </w:pPr>
      <w:r w:rsidRPr="00F0732E">
        <w:rPr>
          <w:rFonts w:cs="Calibri"/>
          <w:b/>
          <w:sz w:val="28"/>
          <w:szCs w:val="28"/>
        </w:rPr>
        <w:t>Tabuľka 3.18: Prehľad prijímacieho konania na druhý stupeň štúdia na akad. rok  2014/2015</w:t>
      </w:r>
      <w:r w:rsidR="00596EAE" w:rsidRPr="00596EAE">
        <w:rPr>
          <w:rFonts w:asciiTheme="majorHAnsi" w:hAnsiTheme="majorHAnsi" w:cs="Calibri"/>
          <w:sz w:val="20"/>
          <w:szCs w:val="20"/>
        </w:rPr>
        <w:t xml:space="preserve"> </w:t>
      </w:r>
    </w:p>
    <w:tbl>
      <w:tblPr>
        <w:tblW w:w="8800" w:type="dxa"/>
        <w:tblInd w:w="55" w:type="dxa"/>
        <w:tblCellMar>
          <w:left w:w="70" w:type="dxa"/>
          <w:right w:w="70" w:type="dxa"/>
        </w:tblCellMar>
        <w:tblLook w:val="04A0" w:firstRow="1" w:lastRow="0" w:firstColumn="1" w:lastColumn="0" w:noHBand="0" w:noVBand="1"/>
      </w:tblPr>
      <w:tblGrid>
        <w:gridCol w:w="1009"/>
        <w:gridCol w:w="1345"/>
        <w:gridCol w:w="1322"/>
        <w:gridCol w:w="871"/>
        <w:gridCol w:w="871"/>
        <w:gridCol w:w="871"/>
        <w:gridCol w:w="1120"/>
        <w:gridCol w:w="871"/>
        <w:gridCol w:w="871"/>
      </w:tblGrid>
      <w:tr w:rsidR="00596EAE" w:rsidRPr="00596EAE" w:rsidTr="0000089C">
        <w:trPr>
          <w:trHeight w:val="51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Fakulta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Plánované počty (Pp)</w:t>
            </w:r>
          </w:p>
        </w:tc>
        <w:tc>
          <w:tcPr>
            <w:tcW w:w="960" w:type="dxa"/>
            <w:tcBorders>
              <w:top w:val="single" w:sz="4" w:space="0" w:color="auto"/>
              <w:left w:val="nil"/>
              <w:bottom w:val="single" w:sz="4" w:space="0" w:color="auto"/>
              <w:right w:val="nil"/>
            </w:tcBorders>
            <w:shd w:val="clear" w:color="auto" w:fill="auto"/>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Prihlásení (Ph)</w:t>
            </w:r>
          </w:p>
        </w:tc>
        <w:tc>
          <w:tcPr>
            <w:tcW w:w="96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Ph/Pp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Prijatí (Pr)</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Pr/Pp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Zapísaní (Z)</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Z/Pr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Z/Pp</w:t>
            </w:r>
          </w:p>
        </w:tc>
      </w:tr>
      <w:tr w:rsidR="00596EAE" w:rsidRPr="00596EAE" w:rsidTr="0000089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SvF</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540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616</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1,14</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558</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1,03</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501</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0,93</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SjF</w:t>
            </w:r>
          </w:p>
        </w:tc>
        <w:tc>
          <w:tcPr>
            <w:tcW w:w="1120" w:type="dxa"/>
            <w:tcBorders>
              <w:top w:val="nil"/>
              <w:left w:val="nil"/>
              <w:bottom w:val="single" w:sz="4" w:space="0" w:color="auto"/>
              <w:right w:val="single" w:sz="4" w:space="0" w:color="auto"/>
            </w:tcBorders>
            <w:shd w:val="clear" w:color="000000" w:fill="FFFFF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280</w:t>
            </w:r>
          </w:p>
        </w:tc>
        <w:tc>
          <w:tcPr>
            <w:tcW w:w="960" w:type="dxa"/>
            <w:tcBorders>
              <w:top w:val="nil"/>
              <w:left w:val="nil"/>
              <w:bottom w:val="single" w:sz="4" w:space="0" w:color="auto"/>
              <w:right w:val="single" w:sz="4" w:space="0" w:color="auto"/>
            </w:tcBorders>
            <w:shd w:val="clear" w:color="000000" w:fill="FFFFF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273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0,98</w:t>
            </w:r>
          </w:p>
        </w:tc>
        <w:tc>
          <w:tcPr>
            <w:tcW w:w="960" w:type="dxa"/>
            <w:tcBorders>
              <w:top w:val="nil"/>
              <w:left w:val="nil"/>
              <w:bottom w:val="single" w:sz="4" w:space="0" w:color="auto"/>
              <w:right w:val="single" w:sz="4" w:space="0" w:color="auto"/>
            </w:tcBorders>
            <w:shd w:val="clear" w:color="000000" w:fill="FFFFF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255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0,91</w:t>
            </w:r>
          </w:p>
        </w:tc>
        <w:tc>
          <w:tcPr>
            <w:tcW w:w="960" w:type="dxa"/>
            <w:tcBorders>
              <w:top w:val="nil"/>
              <w:left w:val="nil"/>
              <w:bottom w:val="single" w:sz="4" w:space="0" w:color="auto"/>
              <w:right w:val="single" w:sz="4" w:space="0" w:color="auto"/>
            </w:tcBorders>
            <w:shd w:val="clear" w:color="000000" w:fill="FFFFF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238</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0,93</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0,85</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FEI</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670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335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0,50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264</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0,39</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248</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0,94</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0,37</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FCHPT</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430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293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0,68</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229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0,53</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211</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0,92</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0,49</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FA</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170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214</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1,26</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193</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1,14</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187</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0,97</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1,10</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MTF</w:t>
            </w:r>
          </w:p>
        </w:tc>
        <w:tc>
          <w:tcPr>
            <w:tcW w:w="1120" w:type="dxa"/>
            <w:tcBorders>
              <w:top w:val="nil"/>
              <w:left w:val="nil"/>
              <w:bottom w:val="single" w:sz="4" w:space="0" w:color="auto"/>
              <w:right w:val="single" w:sz="4" w:space="0" w:color="auto"/>
            </w:tcBorders>
            <w:shd w:val="clear" w:color="000000" w:fill="FFFFF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580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692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1,19</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627</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1,08</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517</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0,82</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0,89</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FIIT</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230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185</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0,80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166</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0,72</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155</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0,93</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0,67</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ÚM</w:t>
            </w:r>
          </w:p>
        </w:tc>
        <w:tc>
          <w:tcPr>
            <w:tcW w:w="112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50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0,58</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27</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0,54</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27</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1,00</w:t>
            </w:r>
          </w:p>
        </w:tc>
        <w:tc>
          <w:tcPr>
            <w:tcW w:w="960" w:type="dxa"/>
            <w:tcBorders>
              <w:top w:val="nil"/>
              <w:left w:val="nil"/>
              <w:bottom w:val="single" w:sz="4" w:space="0" w:color="auto"/>
              <w:right w:val="single" w:sz="4" w:space="0" w:color="auto"/>
            </w:tcBorders>
            <w:shd w:val="clear" w:color="auto" w:fill="auto"/>
            <w:noWrap/>
            <w:vAlign w:val="bottom"/>
            <w:hideMark/>
          </w:tcPr>
          <w:p w:rsidR="00596EAE" w:rsidRPr="00596EAE" w:rsidRDefault="00596EAE" w:rsidP="0000089C">
            <w:pPr>
              <w:jc w:val="center"/>
              <w:rPr>
                <w:rFonts w:asciiTheme="majorHAnsi" w:eastAsia="Times New Roman" w:hAnsiTheme="majorHAnsi" w:cs="Arial"/>
                <w:sz w:val="28"/>
                <w:szCs w:val="28"/>
                <w:lang w:eastAsia="sk-SK"/>
              </w:rPr>
            </w:pPr>
            <w:r w:rsidRPr="00596EAE">
              <w:rPr>
                <w:rFonts w:asciiTheme="majorHAnsi" w:eastAsia="Times New Roman" w:hAnsiTheme="majorHAnsi" w:cs="Arial"/>
                <w:sz w:val="28"/>
                <w:szCs w:val="28"/>
                <w:lang w:eastAsia="sk-SK"/>
              </w:rPr>
              <w:t>0,54</w:t>
            </w:r>
          </w:p>
        </w:tc>
      </w:tr>
      <w:tr w:rsidR="00596EAE" w:rsidRPr="00596EAE" w:rsidTr="0000089C">
        <w:trPr>
          <w:trHeight w:val="255"/>
        </w:trPr>
        <w:tc>
          <w:tcPr>
            <w:tcW w:w="9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STU</w:t>
            </w:r>
          </w:p>
        </w:tc>
        <w:tc>
          <w:tcPr>
            <w:tcW w:w="112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2950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2 637</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0,89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2 319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0,79</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2 084</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0,90</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596EAE" w:rsidRPr="00596EAE" w:rsidRDefault="00596EAE" w:rsidP="0000089C">
            <w:pPr>
              <w:jc w:val="center"/>
              <w:rPr>
                <w:rFonts w:asciiTheme="majorHAnsi" w:eastAsia="Times New Roman" w:hAnsiTheme="majorHAnsi" w:cs="Arial"/>
                <w:b/>
                <w:bCs/>
                <w:sz w:val="28"/>
                <w:szCs w:val="28"/>
                <w:lang w:eastAsia="sk-SK"/>
              </w:rPr>
            </w:pPr>
            <w:r w:rsidRPr="00596EAE">
              <w:rPr>
                <w:rFonts w:asciiTheme="majorHAnsi" w:eastAsia="Times New Roman" w:hAnsiTheme="majorHAnsi" w:cs="Arial"/>
                <w:b/>
                <w:bCs/>
                <w:sz w:val="28"/>
                <w:szCs w:val="28"/>
                <w:lang w:eastAsia="sk-SK"/>
              </w:rPr>
              <w:t>0,71</w:t>
            </w:r>
          </w:p>
        </w:tc>
      </w:tr>
    </w:tbl>
    <w:p w:rsidR="00596EAE" w:rsidRPr="00596EAE" w:rsidRDefault="00596EAE" w:rsidP="00596EAE">
      <w:pPr>
        <w:rPr>
          <w:rFonts w:asciiTheme="majorHAnsi" w:eastAsia="Times New Roman" w:hAnsiTheme="majorHAnsi" w:cs="Arial"/>
          <w:bCs/>
          <w:sz w:val="28"/>
          <w:szCs w:val="28"/>
          <w:lang w:eastAsia="sk-SK"/>
        </w:rPr>
      </w:pPr>
      <w:r w:rsidRPr="00596EAE">
        <w:rPr>
          <w:rFonts w:asciiTheme="majorHAnsi" w:eastAsia="Times New Roman" w:hAnsiTheme="majorHAnsi" w:cs="Arial"/>
          <w:bCs/>
          <w:sz w:val="28"/>
          <w:szCs w:val="28"/>
          <w:lang w:eastAsia="sk-SK"/>
        </w:rPr>
        <w:t>Vysvetlivky: Pp - plánované počty; Ph -prihlásení uchádzači; Pr - prijatí uchádzači; Z – zapísaní</w:t>
      </w:r>
    </w:p>
    <w:p w:rsidR="00B51749" w:rsidRPr="00596EAE" w:rsidRDefault="00B51749" w:rsidP="00596EAE">
      <w:pPr>
        <w:rPr>
          <w:rFonts w:eastAsia="Calibri" w:cs="Arial"/>
          <w:sz w:val="28"/>
          <w:szCs w:val="28"/>
          <w:lang w:eastAsia="sk-SK"/>
        </w:rPr>
      </w:pPr>
    </w:p>
    <w:p w:rsidR="00B51749" w:rsidRPr="00596EAE" w:rsidRDefault="00B51749" w:rsidP="00B51749">
      <w:pPr>
        <w:rPr>
          <w:rFonts w:cs="Calibri"/>
          <w:b/>
          <w:sz w:val="28"/>
          <w:szCs w:val="28"/>
        </w:rPr>
      </w:pPr>
    </w:p>
    <w:p w:rsidR="00B51749" w:rsidRPr="00596EA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p>
    <w:p w:rsidR="00B51749" w:rsidRPr="00F0732E" w:rsidRDefault="00B51749" w:rsidP="00B51749">
      <w:pPr>
        <w:rPr>
          <w:rFonts w:cs="Calibri"/>
          <w:b/>
          <w:sz w:val="28"/>
          <w:szCs w:val="28"/>
        </w:rPr>
      </w:pPr>
      <w:r w:rsidRPr="0044446E">
        <w:rPr>
          <w:rFonts w:cs="Calibri"/>
          <w:b/>
          <w:sz w:val="28"/>
          <w:szCs w:val="28"/>
        </w:rPr>
        <w:t>Graf 3.11: Pomer zapísaných k počtu prijatých uchádzačov na inžinierske štúdium za posledných päť rokov</w:t>
      </w:r>
    </w:p>
    <w:p w:rsidR="00B51749" w:rsidRPr="00F0732E" w:rsidRDefault="0044446E" w:rsidP="00B51749">
      <w:pPr>
        <w:rPr>
          <w:rFonts w:cs="Calibri"/>
          <w:sz w:val="28"/>
          <w:szCs w:val="28"/>
          <w:shd w:val="clear" w:color="auto" w:fill="FFFFFF"/>
        </w:rPr>
      </w:pPr>
      <w:r>
        <w:rPr>
          <w:noProof/>
          <w:lang w:eastAsia="sk-SK"/>
        </w:rPr>
        <w:drawing>
          <wp:inline distT="0" distB="0" distL="0" distR="0" wp14:anchorId="0A15F8E1" wp14:editId="07F97CD9">
            <wp:extent cx="5348177" cy="3009014"/>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1749" w:rsidRPr="00F0732E" w:rsidRDefault="00B51749" w:rsidP="00B51749">
      <w:pPr>
        <w:rPr>
          <w:rFonts w:cs="Calibri"/>
          <w:sz w:val="28"/>
          <w:szCs w:val="28"/>
        </w:rPr>
      </w:pP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r w:rsidRPr="00F0732E">
        <w:rPr>
          <w:rFonts w:cs="Calibri"/>
          <w:sz w:val="28"/>
          <w:szCs w:val="28"/>
        </w:rPr>
        <w:t xml:space="preserve">Počet uchádzačov v rámci celej STU oproti predchádzajúcemu akad. roku </w:t>
      </w:r>
      <w:r w:rsidRPr="00F0732E">
        <w:rPr>
          <w:rFonts w:cs="Calibri"/>
          <w:sz w:val="28"/>
          <w:szCs w:val="28"/>
          <w:shd w:val="clear" w:color="auto" w:fill="FFFFFF"/>
        </w:rPr>
        <w:t>klesol o 2 %. Jedným z dôvodov poklesu uchádzačov na druhom stupni štúdia je aj fakt, že pomerne veľa študentov (až 33 %) na prvom stupni štúdia v poslednom roku, ako potenciálni uchádzači o druhý stupeň štúdia, „zostáva“ v ročníku a štúdium neukončuje – Tabuľka 3.19.</w:t>
      </w: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b/>
          <w:sz w:val="28"/>
          <w:szCs w:val="28"/>
          <w:shd w:val="clear" w:color="auto" w:fill="FFFFFF"/>
        </w:rPr>
      </w:pPr>
      <w:r w:rsidRPr="00F0732E">
        <w:rPr>
          <w:rFonts w:cs="Calibri"/>
          <w:b/>
          <w:sz w:val="28"/>
          <w:szCs w:val="28"/>
        </w:rPr>
        <w:t>Tabuľka 3.19: Prehľad počtu študentov v poslednom roku prvého stupňa štúdia, ktorí štúdium v danom roku neskončili</w:t>
      </w:r>
    </w:p>
    <w:tbl>
      <w:tblPr>
        <w:tblW w:w="7760" w:type="dxa"/>
        <w:tblInd w:w="75" w:type="dxa"/>
        <w:tblCellMar>
          <w:left w:w="70" w:type="dxa"/>
          <w:right w:w="70" w:type="dxa"/>
        </w:tblCellMar>
        <w:tblLook w:val="04A0" w:firstRow="1" w:lastRow="0" w:firstColumn="1" w:lastColumn="0" w:noHBand="0" w:noVBand="1"/>
      </w:tblPr>
      <w:tblGrid>
        <w:gridCol w:w="1518"/>
        <w:gridCol w:w="2680"/>
        <w:gridCol w:w="3000"/>
        <w:gridCol w:w="960"/>
      </w:tblGrid>
      <w:tr w:rsidR="00B51749" w:rsidRPr="00F0732E" w:rsidTr="00447572">
        <w:trPr>
          <w:trHeight w:val="870"/>
        </w:trPr>
        <w:tc>
          <w:tcPr>
            <w:tcW w:w="1120" w:type="dxa"/>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akad. rok</w:t>
            </w:r>
          </w:p>
        </w:tc>
        <w:tc>
          <w:tcPr>
            <w:tcW w:w="268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Počet študentov v poslednom roku štúdia k 31. 10.</w:t>
            </w:r>
          </w:p>
        </w:tc>
        <w:tc>
          <w:tcPr>
            <w:tcW w:w="3000" w:type="dxa"/>
            <w:tcBorders>
              <w:top w:val="single" w:sz="4" w:space="0" w:color="auto"/>
              <w:left w:val="nil"/>
              <w:bottom w:val="single" w:sz="4" w:space="0" w:color="auto"/>
              <w:right w:val="single" w:sz="4" w:space="0" w:color="auto"/>
            </w:tcBorders>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Počet študentov, ktorí neskončili štúdium alebo skončili neúspešne k 31. 8. </w:t>
            </w:r>
          </w:p>
        </w:tc>
        <w:tc>
          <w:tcPr>
            <w:tcW w:w="960"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w:t>
            </w:r>
          </w:p>
        </w:tc>
      </w:tr>
      <w:tr w:rsidR="00B51749" w:rsidRPr="00F0732E" w:rsidTr="00447572">
        <w:trPr>
          <w:trHeight w:val="255"/>
        </w:trPr>
        <w:tc>
          <w:tcPr>
            <w:tcW w:w="112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2011/2012</w:t>
            </w:r>
          </w:p>
        </w:tc>
        <w:tc>
          <w:tcPr>
            <w:tcW w:w="268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3 070</w:t>
            </w:r>
          </w:p>
        </w:tc>
        <w:tc>
          <w:tcPr>
            <w:tcW w:w="300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925</w:t>
            </w:r>
          </w:p>
        </w:tc>
        <w:tc>
          <w:tcPr>
            <w:tcW w:w="96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30,1</w:t>
            </w:r>
          </w:p>
        </w:tc>
      </w:tr>
      <w:tr w:rsidR="00B51749" w:rsidRPr="00F0732E" w:rsidTr="00447572">
        <w:trPr>
          <w:trHeight w:val="255"/>
        </w:trPr>
        <w:tc>
          <w:tcPr>
            <w:tcW w:w="112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2012/2013</w:t>
            </w:r>
          </w:p>
        </w:tc>
        <w:tc>
          <w:tcPr>
            <w:tcW w:w="268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2 937</w:t>
            </w:r>
          </w:p>
        </w:tc>
        <w:tc>
          <w:tcPr>
            <w:tcW w:w="300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914</w:t>
            </w:r>
          </w:p>
        </w:tc>
        <w:tc>
          <w:tcPr>
            <w:tcW w:w="96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31,1</w:t>
            </w:r>
          </w:p>
        </w:tc>
      </w:tr>
      <w:tr w:rsidR="00B51749" w:rsidRPr="00F0732E" w:rsidTr="00447572">
        <w:trPr>
          <w:trHeight w:val="255"/>
        </w:trPr>
        <w:tc>
          <w:tcPr>
            <w:tcW w:w="1120"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2013/2014</w:t>
            </w:r>
          </w:p>
        </w:tc>
        <w:tc>
          <w:tcPr>
            <w:tcW w:w="268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2 913</w:t>
            </w:r>
          </w:p>
        </w:tc>
        <w:tc>
          <w:tcPr>
            <w:tcW w:w="300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974</w:t>
            </w:r>
          </w:p>
        </w:tc>
        <w:tc>
          <w:tcPr>
            <w:tcW w:w="96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33,4</w:t>
            </w:r>
          </w:p>
        </w:tc>
      </w:tr>
    </w:tbl>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r w:rsidRPr="00F0732E">
        <w:rPr>
          <w:rFonts w:cs="Calibri"/>
          <w:sz w:val="28"/>
          <w:szCs w:val="28"/>
        </w:rPr>
        <w:t xml:space="preserve">Klesajúci je aj počet „cudzích“ absolventov uchádzajúcich sa o druhý stupeň štúdia na súčastiach STU </w:t>
      </w:r>
      <w:r w:rsidRPr="00F0732E">
        <w:rPr>
          <w:rFonts w:cs="Calibri"/>
          <w:sz w:val="28"/>
          <w:szCs w:val="28"/>
          <w:shd w:val="clear" w:color="auto" w:fill="FFFFFF"/>
        </w:rPr>
        <w:t xml:space="preserve">– Tabuľka 3.20. </w:t>
      </w: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sz w:val="28"/>
          <w:szCs w:val="28"/>
          <w:shd w:val="clear" w:color="auto" w:fill="FFFFFF"/>
        </w:rPr>
      </w:pPr>
    </w:p>
    <w:p w:rsidR="00045CC2" w:rsidRPr="00044257" w:rsidRDefault="00B51749" w:rsidP="00045CC2">
      <w:pPr>
        <w:rPr>
          <w:rFonts w:asciiTheme="majorHAnsi" w:eastAsia="Times New Roman" w:hAnsiTheme="majorHAnsi" w:cs="Arial"/>
          <w:sz w:val="20"/>
          <w:szCs w:val="20"/>
          <w:lang w:eastAsia="sk-SK"/>
        </w:rPr>
      </w:pPr>
      <w:r w:rsidRPr="00F0732E">
        <w:rPr>
          <w:rFonts w:eastAsia="Times New Roman" w:cs="Arial"/>
          <w:b/>
          <w:sz w:val="28"/>
          <w:szCs w:val="28"/>
          <w:lang w:eastAsia="sk-SK"/>
        </w:rPr>
        <w:lastRenderedPageBreak/>
        <w:t>Tabuľka 3.20: Prijímacie konanie na druhý stupeň štúdia – uchádzači z iných VŠ</w:t>
      </w:r>
      <w:r w:rsidR="00045CC2" w:rsidRPr="00045CC2">
        <w:rPr>
          <w:rFonts w:asciiTheme="majorHAnsi" w:eastAsia="Times New Roman" w:hAnsiTheme="majorHAnsi" w:cs="Arial"/>
          <w:sz w:val="20"/>
          <w:szCs w:val="20"/>
          <w:lang w:eastAsia="sk-SK"/>
        </w:rPr>
        <w:t xml:space="preserve"> </w:t>
      </w:r>
    </w:p>
    <w:tbl>
      <w:tblPr>
        <w:tblW w:w="9151" w:type="dxa"/>
        <w:tblInd w:w="55" w:type="dxa"/>
        <w:tblLayout w:type="fixed"/>
        <w:tblCellMar>
          <w:left w:w="70" w:type="dxa"/>
          <w:right w:w="70" w:type="dxa"/>
        </w:tblCellMar>
        <w:tblLook w:val="04A0" w:firstRow="1" w:lastRow="0" w:firstColumn="1" w:lastColumn="0" w:noHBand="0" w:noVBand="1"/>
      </w:tblPr>
      <w:tblGrid>
        <w:gridCol w:w="1291"/>
        <w:gridCol w:w="1418"/>
        <w:gridCol w:w="1568"/>
        <w:gridCol w:w="983"/>
        <w:gridCol w:w="1276"/>
        <w:gridCol w:w="1417"/>
        <w:gridCol w:w="1198"/>
      </w:tblGrid>
      <w:tr w:rsidR="004F5746" w:rsidRPr="00045CC2" w:rsidTr="004F5746">
        <w:trPr>
          <w:trHeight w:val="6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akad. rok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Prihlásení</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z toho prihlásení mimo STU</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Prijatí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Zapísaní z STU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Zapísaní z iných VŠ</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Spolu zapísaní</w:t>
            </w:r>
          </w:p>
        </w:tc>
      </w:tr>
      <w:tr w:rsidR="004F5746" w:rsidRPr="00045CC2" w:rsidTr="004F5746">
        <w:trPr>
          <w:trHeight w:val="2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2009/</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2010</w:t>
            </w:r>
          </w:p>
        </w:tc>
        <w:tc>
          <w:tcPr>
            <w:tcW w:w="1418"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3323</w:t>
            </w:r>
          </w:p>
        </w:tc>
        <w:tc>
          <w:tcPr>
            <w:tcW w:w="1568"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559</w:t>
            </w:r>
          </w:p>
        </w:tc>
        <w:tc>
          <w:tcPr>
            <w:tcW w:w="983"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2763</w:t>
            </w:r>
          </w:p>
        </w:tc>
        <w:tc>
          <w:tcPr>
            <w:tcW w:w="1276"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2275</w:t>
            </w:r>
          </w:p>
        </w:tc>
        <w:tc>
          <w:tcPr>
            <w:tcW w:w="1417"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292</w:t>
            </w:r>
          </w:p>
        </w:tc>
        <w:tc>
          <w:tcPr>
            <w:tcW w:w="1198"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2567</w:t>
            </w:r>
          </w:p>
        </w:tc>
      </w:tr>
      <w:tr w:rsidR="004F5746" w:rsidRPr="00045CC2" w:rsidTr="004F5746">
        <w:trPr>
          <w:trHeight w:val="255"/>
        </w:trPr>
        <w:tc>
          <w:tcPr>
            <w:tcW w:w="1291" w:type="dxa"/>
            <w:tcBorders>
              <w:top w:val="single" w:sz="4" w:space="0" w:color="auto"/>
              <w:left w:val="single" w:sz="4" w:space="0" w:color="auto"/>
              <w:bottom w:val="single" w:sz="4" w:space="0" w:color="auto"/>
              <w:right w:val="nil"/>
            </w:tcBorders>
            <w:shd w:val="clear" w:color="auto" w:fill="auto"/>
            <w:vAlign w:val="center"/>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2010/</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3882</w:t>
            </w:r>
          </w:p>
        </w:tc>
        <w:tc>
          <w:tcPr>
            <w:tcW w:w="1568"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739</w:t>
            </w:r>
          </w:p>
        </w:tc>
        <w:tc>
          <w:tcPr>
            <w:tcW w:w="983"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3085</w:t>
            </w:r>
          </w:p>
        </w:tc>
        <w:tc>
          <w:tcPr>
            <w:tcW w:w="1276"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2426</w:t>
            </w:r>
          </w:p>
        </w:tc>
        <w:tc>
          <w:tcPr>
            <w:tcW w:w="1417"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394</w:t>
            </w:r>
          </w:p>
        </w:tc>
        <w:tc>
          <w:tcPr>
            <w:tcW w:w="1198" w:type="dxa"/>
            <w:tcBorders>
              <w:top w:val="nil"/>
              <w:left w:val="nil"/>
              <w:bottom w:val="single" w:sz="4" w:space="0" w:color="auto"/>
              <w:right w:val="single" w:sz="4" w:space="0" w:color="auto"/>
            </w:tcBorders>
            <w:shd w:val="clear" w:color="auto" w:fill="auto"/>
            <w:vAlign w:val="center"/>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2820</w:t>
            </w:r>
          </w:p>
        </w:tc>
      </w:tr>
      <w:tr w:rsidR="004F5746" w:rsidRPr="00045CC2" w:rsidTr="004F574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2011/</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2012</w:t>
            </w:r>
          </w:p>
        </w:tc>
        <w:tc>
          <w:tcPr>
            <w:tcW w:w="141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3179</w:t>
            </w:r>
          </w:p>
        </w:tc>
        <w:tc>
          <w:tcPr>
            <w:tcW w:w="156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542</w:t>
            </w:r>
          </w:p>
        </w:tc>
        <w:tc>
          <w:tcPr>
            <w:tcW w:w="983"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2696</w:t>
            </w:r>
          </w:p>
        </w:tc>
        <w:tc>
          <w:tcPr>
            <w:tcW w:w="1276"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2098</w:t>
            </w:r>
          </w:p>
        </w:tc>
        <w:tc>
          <w:tcPr>
            <w:tcW w:w="1417"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336</w:t>
            </w:r>
          </w:p>
        </w:tc>
        <w:tc>
          <w:tcPr>
            <w:tcW w:w="119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2434</w:t>
            </w:r>
          </w:p>
        </w:tc>
      </w:tr>
      <w:tr w:rsidR="004F5746" w:rsidRPr="00045CC2" w:rsidTr="004F5746">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2012/</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2013</w:t>
            </w:r>
          </w:p>
        </w:tc>
        <w:tc>
          <w:tcPr>
            <w:tcW w:w="141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2852</w:t>
            </w:r>
          </w:p>
        </w:tc>
        <w:tc>
          <w:tcPr>
            <w:tcW w:w="156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482</w:t>
            </w:r>
          </w:p>
        </w:tc>
        <w:tc>
          <w:tcPr>
            <w:tcW w:w="983"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2452</w:t>
            </w:r>
          </w:p>
        </w:tc>
        <w:tc>
          <w:tcPr>
            <w:tcW w:w="1276"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2020</w:t>
            </w:r>
          </w:p>
        </w:tc>
        <w:tc>
          <w:tcPr>
            <w:tcW w:w="1417"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225</w:t>
            </w:r>
          </w:p>
        </w:tc>
        <w:tc>
          <w:tcPr>
            <w:tcW w:w="119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2245</w:t>
            </w:r>
          </w:p>
        </w:tc>
      </w:tr>
      <w:tr w:rsidR="004F5746" w:rsidRPr="00045CC2" w:rsidTr="004F5746">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2013/</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2014</w:t>
            </w:r>
          </w:p>
        </w:tc>
        <w:tc>
          <w:tcPr>
            <w:tcW w:w="141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2692</w:t>
            </w:r>
          </w:p>
        </w:tc>
        <w:tc>
          <w:tcPr>
            <w:tcW w:w="156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419</w:t>
            </w:r>
          </w:p>
        </w:tc>
        <w:tc>
          <w:tcPr>
            <w:tcW w:w="983"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2348</w:t>
            </w:r>
          </w:p>
        </w:tc>
        <w:tc>
          <w:tcPr>
            <w:tcW w:w="1276"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1955</w:t>
            </w:r>
          </w:p>
        </w:tc>
        <w:tc>
          <w:tcPr>
            <w:tcW w:w="1417"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198</w:t>
            </w:r>
          </w:p>
        </w:tc>
        <w:tc>
          <w:tcPr>
            <w:tcW w:w="119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2153</w:t>
            </w:r>
          </w:p>
        </w:tc>
      </w:tr>
      <w:tr w:rsidR="004F5746" w:rsidRPr="00045CC2" w:rsidTr="004F5746">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4F5746"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2014/</w:t>
            </w:r>
          </w:p>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2637</w:t>
            </w:r>
          </w:p>
        </w:tc>
        <w:tc>
          <w:tcPr>
            <w:tcW w:w="156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289</w:t>
            </w:r>
          </w:p>
        </w:tc>
        <w:tc>
          <w:tcPr>
            <w:tcW w:w="983"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2319</w:t>
            </w:r>
          </w:p>
        </w:tc>
        <w:tc>
          <w:tcPr>
            <w:tcW w:w="1276"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1920</w:t>
            </w:r>
          </w:p>
        </w:tc>
        <w:tc>
          <w:tcPr>
            <w:tcW w:w="1417"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164</w:t>
            </w:r>
          </w:p>
        </w:tc>
        <w:tc>
          <w:tcPr>
            <w:tcW w:w="1198" w:type="dxa"/>
            <w:tcBorders>
              <w:top w:val="nil"/>
              <w:left w:val="nil"/>
              <w:bottom w:val="single" w:sz="4" w:space="0" w:color="auto"/>
              <w:right w:val="single" w:sz="4" w:space="0" w:color="auto"/>
            </w:tcBorders>
            <w:shd w:val="clear" w:color="auto" w:fill="auto"/>
            <w:noWrap/>
            <w:vAlign w:val="bottom"/>
            <w:hideMark/>
          </w:tcPr>
          <w:p w:rsidR="00045CC2" w:rsidRPr="00045CC2" w:rsidRDefault="00045CC2" w:rsidP="0000089C">
            <w:pPr>
              <w:jc w:val="center"/>
              <w:rPr>
                <w:rFonts w:asciiTheme="majorHAnsi" w:eastAsia="Times New Roman" w:hAnsiTheme="majorHAnsi" w:cs="Arial"/>
                <w:sz w:val="28"/>
                <w:szCs w:val="28"/>
                <w:lang w:eastAsia="sk-SK"/>
              </w:rPr>
            </w:pPr>
            <w:r w:rsidRPr="00045CC2">
              <w:rPr>
                <w:rFonts w:asciiTheme="majorHAnsi" w:eastAsia="Times New Roman" w:hAnsiTheme="majorHAnsi" w:cs="Arial"/>
                <w:sz w:val="28"/>
                <w:szCs w:val="28"/>
                <w:lang w:eastAsia="sk-SK"/>
              </w:rPr>
              <w:t>2084</w:t>
            </w:r>
          </w:p>
        </w:tc>
      </w:tr>
    </w:tbl>
    <w:p w:rsidR="00B51749" w:rsidRPr="00F0732E" w:rsidRDefault="00B51749" w:rsidP="00045CC2">
      <w:pPr>
        <w:rPr>
          <w:rFonts w:eastAsia="Calibri" w:cs="Calibri"/>
          <w:sz w:val="28"/>
          <w:szCs w:val="28"/>
        </w:rPr>
      </w:pPr>
    </w:p>
    <w:p w:rsidR="00B51749" w:rsidRPr="00F0732E" w:rsidRDefault="00B51749" w:rsidP="00B51749">
      <w:pPr>
        <w:rPr>
          <w:rFonts w:cs="Calibri"/>
          <w:sz w:val="28"/>
          <w:szCs w:val="28"/>
        </w:rPr>
      </w:pPr>
      <w:r w:rsidRPr="00F0732E">
        <w:rPr>
          <w:rFonts w:cs="Calibri"/>
          <w:sz w:val="28"/>
          <w:szCs w:val="28"/>
        </w:rPr>
        <w:t>Vo všeobecnosti je podmienkou prijatia na každý študijný program druhého stupňa štúdia na STU prijímacia skúška, ktorá však mohla byť uchádzačovi odpustená, ak sa prihlásil na nadväzujúci študijný program na fakulte a/alebo dosiahol na prvom stupni štúdia stanovený študijný priemer. Absolventi prvého stupňa štúdia z iných vysokých škôl spravidla absolvovali prijímaciu skúšku. Prijímacie skúšky prebiehali formou písomných testov, ústnych pohovorov alebo ich kombináciou.</w:t>
      </w:r>
    </w:p>
    <w:p w:rsidR="00B51749" w:rsidRPr="00F0732E" w:rsidRDefault="00B51749" w:rsidP="00B51749">
      <w:pPr>
        <w:shd w:val="clear" w:color="auto" w:fill="FFFFFF"/>
        <w:rPr>
          <w:rFonts w:cs="Calibri"/>
          <w:sz w:val="28"/>
          <w:szCs w:val="28"/>
        </w:rPr>
      </w:pPr>
      <w:r w:rsidRPr="00F0732E">
        <w:rPr>
          <w:rFonts w:cs="Calibri"/>
          <w:sz w:val="28"/>
          <w:szCs w:val="28"/>
          <w:shd w:val="clear" w:color="auto" w:fill="FFFFFF"/>
        </w:rPr>
        <w:t>Prijímacie konanie na súčastiach univerzity sa konalo jednokolovo</w:t>
      </w:r>
      <w:r w:rsidR="00F6626B">
        <w:rPr>
          <w:rFonts w:cs="Calibri"/>
          <w:sz w:val="28"/>
          <w:szCs w:val="28"/>
          <w:shd w:val="clear" w:color="auto" w:fill="FFFFFF"/>
        </w:rPr>
        <w:t xml:space="preserve"> (</w:t>
      </w:r>
      <w:r w:rsidRPr="00F0732E">
        <w:rPr>
          <w:rFonts w:cs="Calibri"/>
          <w:sz w:val="28"/>
          <w:szCs w:val="28"/>
          <w:shd w:val="clear" w:color="auto" w:fill="FFFFFF"/>
        </w:rPr>
        <w:t>okrem SvF, SjF, FEI a</w:t>
      </w:r>
      <w:r w:rsidR="00F6626B">
        <w:rPr>
          <w:rFonts w:cs="Calibri"/>
          <w:sz w:val="28"/>
          <w:szCs w:val="28"/>
          <w:shd w:val="clear" w:color="auto" w:fill="FFFFFF"/>
        </w:rPr>
        <w:t> </w:t>
      </w:r>
      <w:r w:rsidRPr="00F0732E">
        <w:rPr>
          <w:rFonts w:cs="Calibri"/>
          <w:sz w:val="28"/>
          <w:szCs w:val="28"/>
          <w:shd w:val="clear" w:color="auto" w:fill="FFFFFF"/>
        </w:rPr>
        <w:t>ÚM</w:t>
      </w:r>
      <w:r w:rsidR="00F6626B">
        <w:rPr>
          <w:rFonts w:cs="Calibri"/>
          <w:sz w:val="28"/>
          <w:szCs w:val="28"/>
          <w:shd w:val="clear" w:color="auto" w:fill="FFFFFF"/>
        </w:rPr>
        <w:t>)</w:t>
      </w:r>
      <w:r w:rsidRPr="00F0732E">
        <w:rPr>
          <w:rFonts w:cs="Calibri"/>
          <w:sz w:val="28"/>
          <w:szCs w:val="28"/>
          <w:shd w:val="clear" w:color="auto" w:fill="FFFFFF"/>
        </w:rPr>
        <w:t>.</w:t>
      </w:r>
    </w:p>
    <w:p w:rsidR="00B51749" w:rsidRPr="00F0732E" w:rsidRDefault="00B51749" w:rsidP="00B51749">
      <w:pPr>
        <w:shd w:val="clear" w:color="auto" w:fill="FFFFFF"/>
        <w:rPr>
          <w:rFonts w:cs="Calibri"/>
          <w:sz w:val="28"/>
          <w:szCs w:val="28"/>
        </w:rPr>
      </w:pPr>
      <w:r w:rsidRPr="00F0732E">
        <w:rPr>
          <w:rFonts w:cs="Calibri"/>
          <w:sz w:val="28"/>
          <w:szCs w:val="28"/>
        </w:rPr>
        <w:t xml:space="preserve">Na žiadnej zo súčastí STU sa neprijímalo na externú formu štúdia. </w:t>
      </w:r>
    </w:p>
    <w:p w:rsidR="00B51749" w:rsidRPr="00F0732E" w:rsidRDefault="00B51749" w:rsidP="00B51749">
      <w:pPr>
        <w:rPr>
          <w:b/>
          <w:color w:val="FF0000"/>
          <w:sz w:val="28"/>
          <w:szCs w:val="28"/>
          <w:shd w:val="clear" w:color="auto" w:fill="FFFFFF"/>
        </w:rPr>
      </w:pPr>
    </w:p>
    <w:p w:rsidR="00B51749" w:rsidRPr="00F0732E" w:rsidRDefault="00B51749" w:rsidP="00B51749">
      <w:pPr>
        <w:rPr>
          <w:b/>
          <w:color w:val="FF0000"/>
          <w:sz w:val="28"/>
          <w:szCs w:val="28"/>
          <w:shd w:val="clear" w:color="auto" w:fill="FFFFFF"/>
        </w:rPr>
      </w:pPr>
    </w:p>
    <w:p w:rsidR="00B51749" w:rsidRPr="00F0732E" w:rsidRDefault="00B51749" w:rsidP="00B51749">
      <w:pPr>
        <w:pStyle w:val="Nadpis3"/>
        <w:rPr>
          <w:rFonts w:ascii="Cambria" w:hAnsi="Cambria"/>
          <w:color w:val="auto"/>
          <w:sz w:val="28"/>
          <w:szCs w:val="28"/>
        </w:rPr>
      </w:pPr>
      <w:bookmarkStart w:id="15" w:name="_Toc413009318"/>
      <w:r w:rsidRPr="00F0732E">
        <w:rPr>
          <w:rFonts w:ascii="Cambria" w:hAnsi="Cambria"/>
          <w:color w:val="auto"/>
          <w:sz w:val="28"/>
          <w:szCs w:val="28"/>
        </w:rPr>
        <w:t>Prijímacie konanie na tretí stupeň štúdia</w:t>
      </w:r>
      <w:bookmarkEnd w:id="15"/>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EB2174" w:rsidP="00B51749">
      <w:pPr>
        <w:rPr>
          <w:rFonts w:cs="Calibri"/>
          <w:sz w:val="28"/>
          <w:szCs w:val="28"/>
        </w:rPr>
      </w:pPr>
      <w:r w:rsidRPr="00EB2174">
        <w:rPr>
          <w:rFonts w:asciiTheme="majorHAnsi" w:hAnsiTheme="majorHAnsi" w:cs="Calibri"/>
          <w:sz w:val="28"/>
          <w:szCs w:val="28"/>
        </w:rPr>
        <w:t>Na tretí stupeň štúdia bolo na akad. rok 2014/2015 plánované prijať celkovo 246 uchádzačov v dennej forme (DF) a 87 v externej forme (EF); prihlásených bolo 312 uchádzačov v DF a 84 v EF; z toho bolo prijatých 205 uchádzačov v DF a 76 v EF. Spolu s externými vzdelávacími inštitúciami</w:t>
      </w:r>
      <w:r w:rsidRPr="00EB2174">
        <w:rPr>
          <w:rFonts w:asciiTheme="majorHAnsi" w:hAnsiTheme="majorHAnsi" w:cs="Calibri"/>
          <w:b/>
          <w:sz w:val="28"/>
          <w:szCs w:val="28"/>
        </w:rPr>
        <w:t xml:space="preserve"> </w:t>
      </w:r>
      <w:r w:rsidRPr="00EB2174">
        <w:rPr>
          <w:rFonts w:asciiTheme="majorHAnsi" w:hAnsiTheme="majorHAnsi" w:cs="Calibri"/>
          <w:sz w:val="28"/>
          <w:szCs w:val="28"/>
        </w:rPr>
        <w:t>(EVI) sa</w:t>
      </w:r>
      <w:r w:rsidRPr="00EB2174">
        <w:rPr>
          <w:rFonts w:asciiTheme="majorHAnsi" w:hAnsiTheme="majorHAnsi" w:cs="Calibri"/>
          <w:b/>
          <w:sz w:val="28"/>
          <w:szCs w:val="28"/>
        </w:rPr>
        <w:t xml:space="preserve"> na štúdium na STU v akademickom roku 2014/2015 celkovo zapísalo 260 uchádzačov na treťom stupni štúdia - 189  v dennej forme a 71 v externej forme.</w:t>
      </w:r>
      <w:r w:rsidRPr="00044257">
        <w:rPr>
          <w:rFonts w:asciiTheme="majorHAnsi" w:hAnsiTheme="majorHAnsi" w:cs="Calibri"/>
        </w:rPr>
        <w:t xml:space="preserve"> </w:t>
      </w:r>
      <w:r w:rsidR="00B51749" w:rsidRPr="00F0732E">
        <w:rPr>
          <w:rFonts w:cs="Calibri"/>
          <w:sz w:val="28"/>
          <w:szCs w:val="28"/>
        </w:rPr>
        <w:t>Prehľad prijímacieho konania je uvedený v Tabuľke 3.21.</w:t>
      </w:r>
    </w:p>
    <w:p w:rsidR="00325404" w:rsidRPr="0000089C" w:rsidRDefault="00B51749" w:rsidP="00325404">
      <w:pPr>
        <w:rPr>
          <w:rFonts w:cs="Calibri"/>
          <w:sz w:val="28"/>
          <w:szCs w:val="28"/>
        </w:rPr>
      </w:pPr>
      <w:r w:rsidRPr="00F0732E">
        <w:rPr>
          <w:rFonts w:cs="Calibri"/>
          <w:sz w:val="28"/>
          <w:szCs w:val="28"/>
        </w:rPr>
        <w:br w:type="page"/>
      </w:r>
      <w:r w:rsidRPr="00F0732E">
        <w:rPr>
          <w:rFonts w:cs="Calibri"/>
          <w:b/>
          <w:sz w:val="28"/>
          <w:szCs w:val="28"/>
        </w:rPr>
        <w:lastRenderedPageBreak/>
        <w:t>Tabuľka 3.21: Prehľad prijímacieho konania na treťom stupni štúdia na akad. rok 2014/2015</w:t>
      </w:r>
      <w:r w:rsidR="00325404" w:rsidRPr="00325404">
        <w:rPr>
          <w:rFonts w:asciiTheme="majorHAnsi" w:hAnsiTheme="majorHAnsi" w:cs="Calibri"/>
          <w:sz w:val="20"/>
          <w:szCs w:val="20"/>
        </w:rPr>
        <w:t xml:space="preserve"> </w:t>
      </w:r>
    </w:p>
    <w:tbl>
      <w:tblPr>
        <w:tblW w:w="9371" w:type="dxa"/>
        <w:tblInd w:w="55" w:type="dxa"/>
        <w:tblLayout w:type="fixed"/>
        <w:tblCellMar>
          <w:left w:w="70" w:type="dxa"/>
          <w:right w:w="70" w:type="dxa"/>
        </w:tblCellMar>
        <w:tblLook w:val="04A0" w:firstRow="1" w:lastRow="0" w:firstColumn="1" w:lastColumn="0" w:noHBand="0" w:noVBand="1"/>
      </w:tblPr>
      <w:tblGrid>
        <w:gridCol w:w="840"/>
        <w:gridCol w:w="735"/>
        <w:gridCol w:w="850"/>
        <w:gridCol w:w="709"/>
        <w:gridCol w:w="709"/>
        <w:gridCol w:w="850"/>
        <w:gridCol w:w="851"/>
        <w:gridCol w:w="779"/>
        <w:gridCol w:w="780"/>
        <w:gridCol w:w="779"/>
        <w:gridCol w:w="780"/>
        <w:gridCol w:w="709"/>
      </w:tblGrid>
      <w:tr w:rsidR="00325404" w:rsidRPr="00044257" w:rsidTr="0000089C">
        <w:trPr>
          <w:trHeight w:val="270"/>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Fakulta</w:t>
            </w:r>
          </w:p>
        </w:tc>
        <w:tc>
          <w:tcPr>
            <w:tcW w:w="2294" w:type="dxa"/>
            <w:gridSpan w:val="3"/>
            <w:tcBorders>
              <w:top w:val="single" w:sz="4" w:space="0" w:color="auto"/>
              <w:left w:val="nil"/>
              <w:bottom w:val="single" w:sz="4" w:space="0" w:color="auto"/>
              <w:right w:val="single" w:sz="4" w:space="0" w:color="auto"/>
            </w:tcBorders>
            <w:shd w:val="clear" w:color="auto" w:fill="auto"/>
            <w:noWrap/>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Prihlásení</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Prijatí</w:t>
            </w:r>
          </w:p>
        </w:tc>
        <w:tc>
          <w:tcPr>
            <w:tcW w:w="3827" w:type="dxa"/>
            <w:gridSpan w:val="5"/>
            <w:tcBorders>
              <w:top w:val="single" w:sz="4" w:space="0" w:color="auto"/>
              <w:left w:val="nil"/>
              <w:bottom w:val="single" w:sz="4" w:space="0" w:color="auto"/>
              <w:right w:val="single" w:sz="4" w:space="0" w:color="auto"/>
            </w:tcBorders>
            <w:shd w:val="clear" w:color="auto" w:fill="auto"/>
            <w:noWrap/>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Zapísaní</w:t>
            </w:r>
          </w:p>
        </w:tc>
      </w:tr>
      <w:tr w:rsidR="00325404" w:rsidRPr="00044257" w:rsidTr="0000089C">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denné</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externé</w:t>
            </w:r>
          </w:p>
        </w:tc>
        <w:tc>
          <w:tcPr>
            <w:tcW w:w="709"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Spolu</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 xml:space="preserve">denné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externé</w:t>
            </w:r>
          </w:p>
        </w:tc>
        <w:tc>
          <w:tcPr>
            <w:tcW w:w="851"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Spolu</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 xml:space="preserve">denné </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externé</w:t>
            </w:r>
          </w:p>
        </w:tc>
        <w:tc>
          <w:tcPr>
            <w:tcW w:w="709" w:type="dxa"/>
            <w:vMerge w:val="restart"/>
            <w:tcBorders>
              <w:top w:val="nil"/>
              <w:left w:val="nil"/>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Spolu</w:t>
            </w:r>
          </w:p>
        </w:tc>
      </w:tr>
      <w:tr w:rsidR="00325404" w:rsidRPr="00044257" w:rsidTr="0000089C">
        <w:trPr>
          <w:trHeight w:val="37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735" w:type="dxa"/>
            <w:vMerge/>
            <w:tcBorders>
              <w:top w:val="nil"/>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850" w:type="dxa"/>
            <w:vMerge/>
            <w:tcBorders>
              <w:top w:val="nil"/>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709"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709" w:type="dxa"/>
            <w:vMerge/>
            <w:tcBorders>
              <w:top w:val="nil"/>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850" w:type="dxa"/>
            <w:vMerge/>
            <w:tcBorders>
              <w:top w:val="nil"/>
              <w:left w:val="single" w:sz="4" w:space="0" w:color="auto"/>
              <w:bottom w:val="single" w:sz="4" w:space="0" w:color="000000"/>
              <w:right w:val="single" w:sz="4" w:space="0" w:color="auto"/>
            </w:tcBorders>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851"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325404" w:rsidRPr="00044257" w:rsidRDefault="00325404" w:rsidP="0000089C">
            <w:pPr>
              <w:rPr>
                <w:rFonts w:asciiTheme="majorHAnsi" w:eastAsia="Times New Roman" w:hAnsiTheme="majorHAnsi" w:cs="Arial"/>
                <w:b/>
                <w:bCs/>
                <w:sz w:val="20"/>
                <w:szCs w:val="20"/>
                <w:lang w:eastAsia="sk-SK"/>
              </w:rPr>
            </w:pPr>
          </w:p>
        </w:tc>
        <w:tc>
          <w:tcPr>
            <w:tcW w:w="779" w:type="dxa"/>
            <w:tcBorders>
              <w:top w:val="nil"/>
              <w:left w:val="nil"/>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na fakulte</w:t>
            </w:r>
          </w:p>
        </w:tc>
        <w:tc>
          <w:tcPr>
            <w:tcW w:w="780" w:type="dxa"/>
            <w:tcBorders>
              <w:top w:val="nil"/>
              <w:left w:val="nil"/>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EVI</w:t>
            </w:r>
          </w:p>
        </w:tc>
        <w:tc>
          <w:tcPr>
            <w:tcW w:w="779" w:type="dxa"/>
            <w:tcBorders>
              <w:top w:val="nil"/>
              <w:left w:val="nil"/>
              <w:bottom w:val="nil"/>
              <w:right w:val="nil"/>
            </w:tcBorders>
            <w:shd w:val="clear" w:color="auto" w:fill="auto"/>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na fakulte</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 xml:space="preserve"> EVI</w:t>
            </w:r>
          </w:p>
        </w:tc>
        <w:tc>
          <w:tcPr>
            <w:tcW w:w="709" w:type="dxa"/>
            <w:vMerge/>
            <w:tcBorders>
              <w:left w:val="nil"/>
              <w:bottom w:val="single" w:sz="4" w:space="0" w:color="auto"/>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SvF</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75</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9</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84</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48</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8</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56</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42</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8</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51</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SjF</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33</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15</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48</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27</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15</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42</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22</w:t>
            </w:r>
          </w:p>
        </w:tc>
        <w:tc>
          <w:tcPr>
            <w:tcW w:w="780" w:type="dxa"/>
            <w:tcBorders>
              <w:top w:val="nil"/>
              <w:left w:val="nil"/>
              <w:bottom w:val="single" w:sz="4" w:space="0" w:color="auto"/>
              <w:right w:val="single" w:sz="4" w:space="0" w:color="auto"/>
            </w:tcBorders>
            <w:shd w:val="clear" w:color="000000" w:fill="FFFFFF"/>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15</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37</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FEI</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25</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16</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41</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22</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16</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38</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20</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15</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37</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FCHPT</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56</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66</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38</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8</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46</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26</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9</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42</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FA</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52</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7</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59</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16</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22</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16</w:t>
            </w:r>
          </w:p>
        </w:tc>
        <w:tc>
          <w:tcPr>
            <w:tcW w:w="780" w:type="dxa"/>
            <w:tcBorders>
              <w:top w:val="nil"/>
              <w:left w:val="nil"/>
              <w:bottom w:val="single" w:sz="4" w:space="0" w:color="auto"/>
              <w:right w:val="single" w:sz="4" w:space="0" w:color="auto"/>
            </w:tcBorders>
            <w:shd w:val="clear" w:color="000000" w:fill="FFFFFF"/>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5</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21</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MTF</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40</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16</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56</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30</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13</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43</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25</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11</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39</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FIIT</w:t>
            </w:r>
          </w:p>
        </w:tc>
        <w:tc>
          <w:tcPr>
            <w:tcW w:w="735"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20</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5</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25</w:t>
            </w:r>
          </w:p>
        </w:tc>
        <w:tc>
          <w:tcPr>
            <w:tcW w:w="70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18</w:t>
            </w:r>
          </w:p>
        </w:tc>
        <w:tc>
          <w:tcPr>
            <w:tcW w:w="85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4</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22</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14</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w:t>
            </w:r>
          </w:p>
        </w:tc>
        <w:tc>
          <w:tcPr>
            <w:tcW w:w="779"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3</w:t>
            </w:r>
          </w:p>
        </w:tc>
        <w:tc>
          <w:tcPr>
            <w:tcW w:w="780" w:type="dxa"/>
            <w:tcBorders>
              <w:top w:val="nil"/>
              <w:left w:val="nil"/>
              <w:bottom w:val="single" w:sz="4" w:space="0" w:color="auto"/>
              <w:right w:val="single" w:sz="4" w:space="0" w:color="auto"/>
            </w:tcBorders>
            <w:shd w:val="clear" w:color="auto" w:fill="auto"/>
            <w:noWrap/>
            <w:vAlign w:val="bottom"/>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21</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ÚM</w:t>
            </w:r>
          </w:p>
        </w:tc>
        <w:tc>
          <w:tcPr>
            <w:tcW w:w="735" w:type="dxa"/>
            <w:tcBorders>
              <w:top w:val="nil"/>
              <w:left w:val="nil"/>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11</w:t>
            </w:r>
          </w:p>
        </w:tc>
        <w:tc>
          <w:tcPr>
            <w:tcW w:w="850" w:type="dxa"/>
            <w:tcBorders>
              <w:top w:val="nil"/>
              <w:left w:val="nil"/>
              <w:bottom w:val="single" w:sz="4" w:space="0" w:color="auto"/>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17</w:t>
            </w:r>
          </w:p>
        </w:tc>
        <w:tc>
          <w:tcPr>
            <w:tcW w:w="709" w:type="dxa"/>
            <w:tcBorders>
              <w:top w:val="nil"/>
              <w:left w:val="nil"/>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850" w:type="dxa"/>
            <w:tcBorders>
              <w:top w:val="nil"/>
              <w:left w:val="nil"/>
              <w:bottom w:val="single" w:sz="4" w:space="0" w:color="auto"/>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12</w:t>
            </w:r>
          </w:p>
        </w:tc>
        <w:tc>
          <w:tcPr>
            <w:tcW w:w="779" w:type="dxa"/>
            <w:tcBorders>
              <w:top w:val="nil"/>
              <w:left w:val="nil"/>
              <w:bottom w:val="single" w:sz="4" w:space="0" w:color="auto"/>
              <w:right w:val="single" w:sz="4" w:space="0" w:color="auto"/>
            </w:tcBorders>
            <w:shd w:val="clear" w:color="auto" w:fill="auto"/>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5</w:t>
            </w:r>
          </w:p>
        </w:tc>
        <w:tc>
          <w:tcPr>
            <w:tcW w:w="780" w:type="dxa"/>
            <w:tcBorders>
              <w:top w:val="nil"/>
              <w:left w:val="nil"/>
              <w:bottom w:val="single" w:sz="4" w:space="0" w:color="auto"/>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1</w:t>
            </w:r>
          </w:p>
        </w:tc>
        <w:tc>
          <w:tcPr>
            <w:tcW w:w="779" w:type="dxa"/>
            <w:tcBorders>
              <w:top w:val="nil"/>
              <w:left w:val="nil"/>
              <w:bottom w:val="single" w:sz="4" w:space="0" w:color="auto"/>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6</w:t>
            </w:r>
          </w:p>
        </w:tc>
        <w:tc>
          <w:tcPr>
            <w:tcW w:w="780" w:type="dxa"/>
            <w:tcBorders>
              <w:top w:val="nil"/>
              <w:left w:val="nil"/>
              <w:bottom w:val="single" w:sz="4" w:space="0" w:color="auto"/>
              <w:right w:val="single" w:sz="4" w:space="0" w:color="auto"/>
            </w:tcBorders>
            <w:shd w:val="clear" w:color="auto" w:fill="auto"/>
            <w:noWrap/>
            <w:vAlign w:val="center"/>
            <w:hideMark/>
          </w:tcPr>
          <w:p w:rsidR="00325404" w:rsidRPr="00044257" w:rsidRDefault="00325404" w:rsidP="0000089C">
            <w:pPr>
              <w:jc w:val="center"/>
              <w:rPr>
                <w:rFonts w:asciiTheme="majorHAnsi" w:eastAsia="Times New Roman" w:hAnsiTheme="majorHAnsi" w:cs="Arial"/>
                <w:sz w:val="20"/>
                <w:szCs w:val="20"/>
                <w:lang w:eastAsia="sk-SK"/>
              </w:rPr>
            </w:pPr>
            <w:r w:rsidRPr="00044257">
              <w:rPr>
                <w:rFonts w:asciiTheme="majorHAnsi" w:eastAsia="Times New Roman" w:hAnsiTheme="majorHAnsi" w:cs="Arial"/>
                <w:sz w:val="20"/>
                <w:szCs w:val="20"/>
                <w:lang w:eastAsia="sk-SK"/>
              </w:rPr>
              <w:t>0</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12</w:t>
            </w:r>
          </w:p>
        </w:tc>
      </w:tr>
      <w:tr w:rsidR="00325404" w:rsidRPr="00044257" w:rsidTr="0000089C">
        <w:trPr>
          <w:trHeight w:val="255"/>
        </w:trPr>
        <w:tc>
          <w:tcPr>
            <w:tcW w:w="8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STU</w:t>
            </w:r>
          </w:p>
        </w:tc>
        <w:tc>
          <w:tcPr>
            <w:tcW w:w="735"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312</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84</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396</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205</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76</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281</w:t>
            </w:r>
          </w:p>
        </w:tc>
        <w:tc>
          <w:tcPr>
            <w:tcW w:w="77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170</w:t>
            </w:r>
          </w:p>
        </w:tc>
        <w:tc>
          <w:tcPr>
            <w:tcW w:w="780"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19</w:t>
            </w:r>
          </w:p>
        </w:tc>
        <w:tc>
          <w:tcPr>
            <w:tcW w:w="77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69</w:t>
            </w:r>
          </w:p>
        </w:tc>
        <w:tc>
          <w:tcPr>
            <w:tcW w:w="780"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325404" w:rsidRPr="00044257" w:rsidRDefault="00325404" w:rsidP="0000089C">
            <w:pPr>
              <w:jc w:val="center"/>
              <w:rPr>
                <w:rFonts w:asciiTheme="majorHAnsi" w:eastAsia="Times New Roman" w:hAnsiTheme="majorHAnsi" w:cs="Arial"/>
                <w:b/>
                <w:bCs/>
                <w:sz w:val="20"/>
                <w:szCs w:val="20"/>
                <w:lang w:eastAsia="sk-SK"/>
              </w:rPr>
            </w:pPr>
            <w:r w:rsidRPr="00044257">
              <w:rPr>
                <w:rFonts w:asciiTheme="majorHAnsi" w:eastAsia="Times New Roman" w:hAnsiTheme="majorHAnsi" w:cs="Arial"/>
                <w:b/>
                <w:bCs/>
                <w:sz w:val="20"/>
                <w:szCs w:val="20"/>
                <w:lang w:eastAsia="sk-SK"/>
              </w:rPr>
              <w:t>260</w:t>
            </w:r>
          </w:p>
        </w:tc>
      </w:tr>
    </w:tbl>
    <w:p w:rsidR="00B51749" w:rsidRPr="00F0732E" w:rsidRDefault="00B51749" w:rsidP="00325404">
      <w:pPr>
        <w:rPr>
          <w:rFonts w:cs="Calibri"/>
          <w:sz w:val="28"/>
          <w:szCs w:val="28"/>
        </w:rPr>
      </w:pPr>
    </w:p>
    <w:p w:rsidR="00B51749" w:rsidRPr="00F0732E" w:rsidRDefault="00B51749" w:rsidP="00B51749">
      <w:pPr>
        <w:shd w:val="clear" w:color="auto" w:fill="FFFFFF"/>
        <w:rPr>
          <w:rFonts w:cs="Calibri"/>
          <w:sz w:val="28"/>
          <w:szCs w:val="28"/>
        </w:rPr>
      </w:pPr>
    </w:p>
    <w:p w:rsidR="00B51749" w:rsidRPr="00F0732E" w:rsidRDefault="00B51749" w:rsidP="00B51749">
      <w:pPr>
        <w:shd w:val="clear" w:color="auto" w:fill="FFFFFF"/>
        <w:rPr>
          <w:rFonts w:cs="Calibri"/>
          <w:sz w:val="28"/>
          <w:szCs w:val="28"/>
          <w:shd w:val="clear" w:color="auto" w:fill="FFFFFF"/>
        </w:rPr>
      </w:pPr>
      <w:r w:rsidRPr="00F0732E">
        <w:rPr>
          <w:rFonts w:cs="Calibri"/>
          <w:sz w:val="28"/>
          <w:szCs w:val="28"/>
        </w:rPr>
        <w:t>Plánované počty denných doktorandských miest na akademický rok 2014/2015 v porovnaní s predchádzajúcimi akademickými rokmi, sú uvedené v Tabuľke 3.22. Počet uchádzačov oproti predchádzajúcemu akad. roku klesol, rovnako, ako aj záujem zahraničných uchádzačov o tretí stupeň štúdia na STU.</w:t>
      </w:r>
    </w:p>
    <w:p w:rsidR="00B51749" w:rsidRPr="00F0732E" w:rsidRDefault="00B51749" w:rsidP="00B51749">
      <w:pPr>
        <w:shd w:val="clear" w:color="auto" w:fill="FFFFFF"/>
        <w:rPr>
          <w:rFonts w:cs="Calibri"/>
          <w:sz w:val="28"/>
          <w:szCs w:val="28"/>
          <w:shd w:val="clear" w:color="auto" w:fill="FFFFFF"/>
        </w:rPr>
      </w:pPr>
    </w:p>
    <w:p w:rsidR="00B51749" w:rsidRPr="00F0732E" w:rsidRDefault="00B51749" w:rsidP="00B51749">
      <w:pPr>
        <w:shd w:val="clear" w:color="auto" w:fill="FFFFFF"/>
        <w:rPr>
          <w:rFonts w:cs="Calibri"/>
          <w:b/>
          <w:sz w:val="28"/>
          <w:szCs w:val="28"/>
        </w:rPr>
      </w:pPr>
      <w:r w:rsidRPr="00F0732E">
        <w:rPr>
          <w:rFonts w:cs="Calibri"/>
          <w:b/>
          <w:sz w:val="28"/>
          <w:szCs w:val="28"/>
        </w:rPr>
        <w:t>Tabuľka 3.22: Počty uchádzačov za posledné tri roky – plánovaní a prihlásení uchádzači</w:t>
      </w:r>
    </w:p>
    <w:tbl>
      <w:tblPr>
        <w:tblW w:w="6320" w:type="dxa"/>
        <w:tblInd w:w="55" w:type="dxa"/>
        <w:tblCellMar>
          <w:left w:w="70" w:type="dxa"/>
          <w:right w:w="70" w:type="dxa"/>
        </w:tblCellMar>
        <w:tblLook w:val="04A0" w:firstRow="1" w:lastRow="0" w:firstColumn="1" w:lastColumn="0" w:noHBand="0" w:noVBand="1"/>
      </w:tblPr>
      <w:tblGrid>
        <w:gridCol w:w="1518"/>
        <w:gridCol w:w="960"/>
        <w:gridCol w:w="1135"/>
        <w:gridCol w:w="960"/>
        <w:gridCol w:w="1135"/>
        <w:gridCol w:w="1497"/>
      </w:tblGrid>
      <w:tr w:rsidR="00B51749" w:rsidRPr="00F0732E" w:rsidTr="00447572">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Plánované počty</w:t>
            </w:r>
          </w:p>
        </w:tc>
        <w:tc>
          <w:tcPr>
            <w:tcW w:w="3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Prihlásení uchádzači</w:t>
            </w:r>
          </w:p>
        </w:tc>
      </w:tr>
      <w:tr w:rsidR="00B51749" w:rsidRPr="00F0732E" w:rsidTr="00447572">
        <w:trPr>
          <w:trHeight w:val="79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akad. rok</w:t>
            </w:r>
          </w:p>
        </w:tc>
        <w:tc>
          <w:tcPr>
            <w:tcW w:w="96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denná forma </w:t>
            </w:r>
          </w:p>
        </w:tc>
        <w:tc>
          <w:tcPr>
            <w:tcW w:w="96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externá forma</w:t>
            </w:r>
          </w:p>
        </w:tc>
        <w:tc>
          <w:tcPr>
            <w:tcW w:w="96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denná forma</w:t>
            </w:r>
          </w:p>
        </w:tc>
        <w:tc>
          <w:tcPr>
            <w:tcW w:w="96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externá forma</w:t>
            </w:r>
          </w:p>
        </w:tc>
        <w:tc>
          <w:tcPr>
            <w:tcW w:w="138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z toho uchádzači zo zahraničia</w:t>
            </w:r>
          </w:p>
        </w:tc>
      </w:tr>
      <w:tr w:rsidR="00B51749" w:rsidRPr="00F0732E" w:rsidTr="00447572">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2012/2013</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313</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90</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417</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89</w:t>
            </w:r>
          </w:p>
        </w:tc>
        <w:tc>
          <w:tcPr>
            <w:tcW w:w="138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w:t>
            </w:r>
          </w:p>
        </w:tc>
      </w:tr>
      <w:tr w:rsidR="00B51749" w:rsidRPr="00F0732E" w:rsidTr="00447572">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2013/2014</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271</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131</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355</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96</w:t>
            </w:r>
          </w:p>
        </w:tc>
        <w:tc>
          <w:tcPr>
            <w:tcW w:w="138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22</w:t>
            </w:r>
          </w:p>
        </w:tc>
      </w:tr>
      <w:tr w:rsidR="00B51749" w:rsidRPr="00F0732E" w:rsidTr="00447572">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2014/2015</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246</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87</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312</w:t>
            </w:r>
          </w:p>
        </w:tc>
        <w:tc>
          <w:tcPr>
            <w:tcW w:w="96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84</w:t>
            </w:r>
          </w:p>
        </w:tc>
        <w:tc>
          <w:tcPr>
            <w:tcW w:w="138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w:t>
            </w:r>
          </w:p>
        </w:tc>
      </w:tr>
    </w:tbl>
    <w:p w:rsidR="00B51749" w:rsidRPr="00F0732E" w:rsidRDefault="00B51749" w:rsidP="00B51749">
      <w:pPr>
        <w:shd w:val="clear" w:color="auto" w:fill="FFFFFF"/>
        <w:tabs>
          <w:tab w:val="left" w:pos="3090"/>
        </w:tabs>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shd w:val="clear" w:color="auto" w:fill="FFFFFF"/>
        </w:rPr>
      </w:pPr>
      <w:r w:rsidRPr="00F0732E">
        <w:rPr>
          <w:rFonts w:cs="Calibri"/>
          <w:sz w:val="28"/>
          <w:szCs w:val="28"/>
        </w:rPr>
        <w:t xml:space="preserve">V treťom stupni štúdia naďalej pokračuje spolupráca s externými vzdelávacími inštitúciami. </w:t>
      </w:r>
      <w:r w:rsidRPr="00F0732E">
        <w:rPr>
          <w:rFonts w:cs="Calibri"/>
          <w:sz w:val="28"/>
          <w:szCs w:val="28"/>
          <w:shd w:val="clear" w:color="auto" w:fill="FFFFFF"/>
        </w:rPr>
        <w:t>V hodnotenom prijímacom konaní boli prijímaní uchádzači zo všetkých súčastí STU na 13 ústavov Slovenskej akadémie vied. STU má v súčasnosti uzavretých 28 rámcových dohôd o štúdiu študijných programov tretieho stupňa.</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Cieľom prijímacieho konania na tretí stupeň štúdia na STU v zmysle zákona bolo zistenie predpokladov uchádzača na samostatnú tvorivú činnosť </w:t>
      </w:r>
      <w:r w:rsidRPr="00F0732E">
        <w:rPr>
          <w:rFonts w:cs="Calibri"/>
          <w:sz w:val="28"/>
          <w:szCs w:val="28"/>
        </w:rPr>
        <w:lastRenderedPageBreak/>
        <w:t xml:space="preserve">v oblasti vedy a techniky alebo samostatnú teoretickú a tvorivú činnosť v oblasti umenia. Na všetkých súčastiach univerzity prebiehalo overovanie predpokladov uchádzačov prijímacou skúškou. V zmysle zákona boli pre uchádzačov vypísané témy dizertačných prác, o ktoré sa záujemcovia mohli uchádzať v rámci prijímacieho konania na denné alebo externé štúdium. V prípade, keď sa na jednu tému dizertačnej práce prihlásilo viac uchádzačov, prijímacia komisia vytvorila návrh poradia prijatia uchádzačov. Keďže súčasťou tretieho stupňa štúdia je aktívne používanie cudzieho jazyka, súčasťou prijímacej skúšky je tiež overovanie jazykovej spôsobilosti uchádzača, aspoň v jednom cudzom jazyku (hlavne anglický jazyk). </w:t>
      </w:r>
    </w:p>
    <w:p w:rsidR="00B51749" w:rsidRPr="00F0732E" w:rsidRDefault="00B51749" w:rsidP="00B51749">
      <w:pPr>
        <w:rPr>
          <w:b/>
          <w:color w:val="FF0000"/>
          <w:sz w:val="28"/>
          <w:szCs w:val="28"/>
        </w:rPr>
      </w:pPr>
    </w:p>
    <w:p w:rsidR="00B51749" w:rsidRPr="00F0732E" w:rsidRDefault="00B51749" w:rsidP="00B51749">
      <w:pPr>
        <w:rPr>
          <w:b/>
          <w:color w:val="FF0000"/>
          <w:sz w:val="28"/>
          <w:szCs w:val="28"/>
        </w:rPr>
      </w:pPr>
    </w:p>
    <w:p w:rsidR="00B51749" w:rsidRPr="00F0732E" w:rsidRDefault="00B51749" w:rsidP="00B51749">
      <w:pPr>
        <w:pStyle w:val="Nadpis3"/>
        <w:rPr>
          <w:rFonts w:ascii="Cambria" w:hAnsi="Cambria"/>
          <w:color w:val="auto"/>
          <w:sz w:val="28"/>
          <w:szCs w:val="28"/>
        </w:rPr>
      </w:pPr>
      <w:bookmarkStart w:id="16" w:name="_Toc413009319"/>
      <w:r w:rsidRPr="00F0732E">
        <w:rPr>
          <w:rFonts w:ascii="Cambria" w:hAnsi="Cambria"/>
          <w:color w:val="auto"/>
          <w:sz w:val="28"/>
          <w:szCs w:val="28"/>
        </w:rPr>
        <w:t>Preskúmanie rozhodnutí o neprijatí na štúdium</w:t>
      </w:r>
      <w:bookmarkEnd w:id="16"/>
    </w:p>
    <w:p w:rsidR="00B51749" w:rsidRPr="00F0732E" w:rsidRDefault="00B51749" w:rsidP="00B51749">
      <w:pPr>
        <w:tabs>
          <w:tab w:val="left" w:pos="0"/>
          <w:tab w:val="left" w:pos="284"/>
        </w:tabs>
        <w:rPr>
          <w:color w:val="FF0000"/>
          <w:sz w:val="28"/>
          <w:szCs w:val="28"/>
        </w:rPr>
      </w:pPr>
    </w:p>
    <w:p w:rsidR="00B51749" w:rsidRPr="00F0732E" w:rsidRDefault="00B51749" w:rsidP="00B51749">
      <w:pPr>
        <w:tabs>
          <w:tab w:val="left" w:pos="0"/>
          <w:tab w:val="left" w:pos="284"/>
        </w:tabs>
        <w:rPr>
          <w:rFonts w:cs="Calibri"/>
          <w:sz w:val="28"/>
          <w:szCs w:val="28"/>
        </w:rPr>
      </w:pPr>
      <w:r w:rsidRPr="00F0732E">
        <w:rPr>
          <w:rFonts w:cs="Calibri"/>
          <w:sz w:val="28"/>
          <w:szCs w:val="28"/>
        </w:rPr>
        <w:t xml:space="preserve">Vzhľadom na spomínané kapacitné možnosti univerzity 16 </w:t>
      </w:r>
      <w:r w:rsidRPr="00F0732E">
        <w:rPr>
          <w:rFonts w:cs="Calibri"/>
          <w:sz w:val="28"/>
          <w:szCs w:val="28"/>
          <w:shd w:val="clear" w:color="auto" w:fill="FFFFFF"/>
        </w:rPr>
        <w:t xml:space="preserve">% </w:t>
      </w:r>
      <w:r w:rsidRPr="00F0732E">
        <w:rPr>
          <w:rFonts w:cs="Calibri"/>
          <w:sz w:val="28"/>
          <w:szCs w:val="28"/>
        </w:rPr>
        <w:t>uchádzačov dostalo rozhodnutie o neprijatí na štúdium v rámci celej STU</w:t>
      </w:r>
      <w:r w:rsidRPr="00F0732E">
        <w:rPr>
          <w:rFonts w:cs="Calibri"/>
          <w:sz w:val="28"/>
          <w:szCs w:val="28"/>
          <w:shd w:val="clear" w:color="auto" w:fill="FFFFFF"/>
        </w:rPr>
        <w:t xml:space="preserve">. </w:t>
      </w:r>
      <w:r w:rsidRPr="00F0732E">
        <w:rPr>
          <w:rFonts w:cs="Calibri"/>
          <w:sz w:val="28"/>
          <w:szCs w:val="28"/>
        </w:rPr>
        <w:t>Týmto uchádzačom § 58 ods. 8 zákona vytvára možnosť podať žiadosť o preskúmanie rozhodnutia o neprijatí. Potvrdenie rozhodnutí dekanov, resp. rektora o neprijatí uchádzača a percento žiadostí o preskúmanie rozhodnutí vo veľkej miere vyjadruje uznanie uchádzačov o korektnosti priebehu prijímacieho konania a objektívnosti rozhodnutia o jeho výsledku.</w:t>
      </w:r>
    </w:p>
    <w:p w:rsidR="00B51749" w:rsidRPr="00F0732E" w:rsidRDefault="00B51749" w:rsidP="00B51749">
      <w:pPr>
        <w:tabs>
          <w:tab w:val="left" w:pos="0"/>
          <w:tab w:val="left" w:pos="284"/>
        </w:tabs>
        <w:rPr>
          <w:rFonts w:cs="Calibri"/>
          <w:sz w:val="28"/>
          <w:szCs w:val="28"/>
        </w:rPr>
      </w:pPr>
      <w:r w:rsidRPr="00F0732E">
        <w:rPr>
          <w:rFonts w:cs="Calibri"/>
          <w:sz w:val="28"/>
          <w:szCs w:val="28"/>
        </w:rPr>
        <w:t xml:space="preserve">Tabuľka 3.23 udáva počet žiadostí neprijatých uchádzačov na štúdium postúpených na preskúmanie rektorovi. Z celkového </w:t>
      </w:r>
      <w:r w:rsidRPr="00F0732E">
        <w:rPr>
          <w:rFonts w:cs="Calibri"/>
          <w:sz w:val="28"/>
          <w:szCs w:val="28"/>
          <w:shd w:val="clear" w:color="auto" w:fill="FFFFFF"/>
        </w:rPr>
        <w:t xml:space="preserve">počtu 1 704 </w:t>
      </w:r>
      <w:r w:rsidRPr="00F0732E">
        <w:rPr>
          <w:rFonts w:cs="Calibri"/>
          <w:sz w:val="28"/>
          <w:szCs w:val="28"/>
        </w:rPr>
        <w:t>neprijatých uchádzačov na štúdium všetkých akreditovaných ŠP na STU žiadosti o preskúmanie podalo 93 uchádzačov (5</w:t>
      </w:r>
      <w:r w:rsidRPr="00F0732E">
        <w:rPr>
          <w:rFonts w:cs="Calibri"/>
          <w:sz w:val="28"/>
          <w:szCs w:val="28"/>
          <w:shd w:val="clear" w:color="auto" w:fill="FFFFFF"/>
        </w:rPr>
        <w:t xml:space="preserve"> %).</w:t>
      </w:r>
      <w:r w:rsidRPr="00F0732E">
        <w:rPr>
          <w:rFonts w:cs="Calibri"/>
          <w:sz w:val="28"/>
          <w:szCs w:val="28"/>
        </w:rPr>
        <w:t xml:space="preserve"> </w:t>
      </w:r>
    </w:p>
    <w:p w:rsidR="00B51749" w:rsidRPr="00F0732E" w:rsidRDefault="00B51749" w:rsidP="00B51749">
      <w:pPr>
        <w:tabs>
          <w:tab w:val="left" w:pos="0"/>
          <w:tab w:val="left" w:pos="284"/>
        </w:tabs>
        <w:rPr>
          <w:rFonts w:cs="Calibri"/>
          <w:sz w:val="28"/>
          <w:szCs w:val="28"/>
        </w:rPr>
      </w:pPr>
    </w:p>
    <w:p w:rsidR="00B51749" w:rsidRPr="00F0732E" w:rsidRDefault="00B51749" w:rsidP="00B51749">
      <w:pPr>
        <w:tabs>
          <w:tab w:val="left" w:pos="0"/>
          <w:tab w:val="left" w:pos="284"/>
        </w:tabs>
        <w:rPr>
          <w:rFonts w:cs="Calibri"/>
          <w:b/>
        </w:rPr>
      </w:pPr>
      <w:r w:rsidRPr="00F0732E">
        <w:rPr>
          <w:rFonts w:cs="Calibri"/>
          <w:b/>
          <w:sz w:val="28"/>
          <w:szCs w:val="28"/>
        </w:rPr>
        <w:t>Tabuľka 3.23: Počet žiadostí o preskúmanie rozhodnutí dekana o neprijatí na štúdium v akad. roku 2013/2014</w:t>
      </w:r>
    </w:p>
    <w:tbl>
      <w:tblPr>
        <w:tblW w:w="9378" w:type="dxa"/>
        <w:tblInd w:w="75" w:type="dxa"/>
        <w:tblCellMar>
          <w:left w:w="70" w:type="dxa"/>
          <w:right w:w="70" w:type="dxa"/>
        </w:tblCellMar>
        <w:tblLook w:val="04A0" w:firstRow="1" w:lastRow="0" w:firstColumn="1" w:lastColumn="0" w:noHBand="0" w:noVBand="1"/>
      </w:tblPr>
      <w:tblGrid>
        <w:gridCol w:w="977"/>
        <w:gridCol w:w="1606"/>
        <w:gridCol w:w="1486"/>
        <w:gridCol w:w="1460"/>
        <w:gridCol w:w="1486"/>
        <w:gridCol w:w="1460"/>
        <w:gridCol w:w="1486"/>
      </w:tblGrid>
      <w:tr w:rsidR="00B51749" w:rsidRPr="00F0732E" w:rsidTr="00447572">
        <w:trPr>
          <w:trHeight w:val="20"/>
        </w:trPr>
        <w:tc>
          <w:tcPr>
            <w:tcW w:w="874" w:type="dxa"/>
            <w:vMerge w:val="restart"/>
            <w:tcBorders>
              <w:top w:val="single" w:sz="4" w:space="0" w:color="auto"/>
              <w:left w:val="single" w:sz="4" w:space="0" w:color="auto"/>
              <w:bottom w:val="single" w:sz="4" w:space="0" w:color="000000"/>
              <w:right w:val="single" w:sz="4" w:space="0" w:color="auto"/>
            </w:tcBorders>
            <w:noWrap/>
            <w:vAlign w:val="center"/>
            <w:hideMark/>
          </w:tcPr>
          <w:p w:rsidR="00B51749" w:rsidRPr="00F0732E" w:rsidRDefault="00B51749" w:rsidP="00447572">
            <w:pPr>
              <w:rPr>
                <w:rFonts w:eastAsia="Times New Roman" w:cs="Arial"/>
                <w:b/>
                <w:bCs/>
                <w:lang w:eastAsia="sk-SK"/>
              </w:rPr>
            </w:pPr>
            <w:r w:rsidRPr="00F0732E">
              <w:rPr>
                <w:rFonts w:eastAsia="Times New Roman" w:cs="Arial"/>
                <w:b/>
                <w:bCs/>
                <w:lang w:eastAsia="sk-SK"/>
              </w:rPr>
              <w:t>Fakulta</w:t>
            </w:r>
          </w:p>
        </w:tc>
        <w:tc>
          <w:tcPr>
            <w:tcW w:w="2966" w:type="dxa"/>
            <w:gridSpan w:val="2"/>
            <w:tcBorders>
              <w:top w:val="single" w:sz="4" w:space="0" w:color="auto"/>
              <w:left w:val="nil"/>
              <w:bottom w:val="single" w:sz="4" w:space="0" w:color="auto"/>
              <w:right w:val="double" w:sz="6" w:space="0" w:color="000000"/>
            </w:tcBorders>
            <w:noWrap/>
            <w:vAlign w:val="bottom"/>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I. stupeň</w:t>
            </w:r>
          </w:p>
        </w:tc>
        <w:tc>
          <w:tcPr>
            <w:tcW w:w="2718" w:type="dxa"/>
            <w:gridSpan w:val="2"/>
            <w:tcBorders>
              <w:top w:val="single" w:sz="4" w:space="0" w:color="auto"/>
              <w:left w:val="nil"/>
              <w:bottom w:val="single" w:sz="4" w:space="0" w:color="auto"/>
              <w:right w:val="double" w:sz="6" w:space="0" w:color="000000"/>
            </w:tcBorders>
            <w:noWrap/>
            <w:vAlign w:val="bottom"/>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II. stupeň</w:t>
            </w:r>
          </w:p>
        </w:tc>
        <w:tc>
          <w:tcPr>
            <w:tcW w:w="2820" w:type="dxa"/>
            <w:gridSpan w:val="2"/>
            <w:tcBorders>
              <w:top w:val="single" w:sz="4" w:space="0" w:color="auto"/>
              <w:left w:val="nil"/>
              <w:bottom w:val="single" w:sz="4" w:space="0" w:color="auto"/>
              <w:right w:val="double" w:sz="6" w:space="0" w:color="000000"/>
            </w:tcBorders>
            <w:noWrap/>
            <w:vAlign w:val="bottom"/>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III. stupeň</w:t>
            </w:r>
          </w:p>
        </w:tc>
      </w:tr>
      <w:tr w:rsidR="00B51749" w:rsidRPr="00F0732E" w:rsidTr="00447572">
        <w:trPr>
          <w:trHeight w:val="32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1606" w:type="dxa"/>
            <w:vMerge w:val="restart"/>
            <w:tcBorders>
              <w:top w:val="nil"/>
              <w:left w:val="single" w:sz="4" w:space="0" w:color="auto"/>
              <w:bottom w:val="single" w:sz="4" w:space="0" w:color="000000"/>
              <w:right w:val="single" w:sz="4" w:space="0" w:color="auto"/>
            </w:tcBorders>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neprijatí</w:t>
            </w:r>
          </w:p>
        </w:tc>
        <w:tc>
          <w:tcPr>
            <w:tcW w:w="1360" w:type="dxa"/>
            <w:vMerge w:val="restart"/>
            <w:tcBorders>
              <w:top w:val="nil"/>
              <w:left w:val="single" w:sz="4" w:space="0" w:color="auto"/>
              <w:bottom w:val="single" w:sz="4" w:space="0" w:color="000000"/>
              <w:right w:val="double" w:sz="6" w:space="0" w:color="auto"/>
            </w:tcBorders>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žiadosti                     o preskúmanie</w:t>
            </w:r>
          </w:p>
        </w:tc>
        <w:tc>
          <w:tcPr>
            <w:tcW w:w="1460" w:type="dxa"/>
            <w:vMerge w:val="restart"/>
            <w:tcBorders>
              <w:top w:val="nil"/>
              <w:left w:val="double" w:sz="6" w:space="0" w:color="auto"/>
              <w:bottom w:val="single" w:sz="4" w:space="0" w:color="000000"/>
              <w:right w:val="single" w:sz="4" w:space="0" w:color="auto"/>
            </w:tcBorders>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neprijatí</w:t>
            </w:r>
          </w:p>
        </w:tc>
        <w:tc>
          <w:tcPr>
            <w:tcW w:w="1258" w:type="dxa"/>
            <w:vMerge w:val="restart"/>
            <w:tcBorders>
              <w:top w:val="nil"/>
              <w:left w:val="single" w:sz="4" w:space="0" w:color="auto"/>
              <w:bottom w:val="single" w:sz="4" w:space="0" w:color="000000"/>
              <w:right w:val="double" w:sz="6" w:space="0" w:color="auto"/>
            </w:tcBorders>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žiadosti                          o preskúmanie</w:t>
            </w:r>
          </w:p>
        </w:tc>
        <w:tc>
          <w:tcPr>
            <w:tcW w:w="1460" w:type="dxa"/>
            <w:vMerge w:val="restart"/>
            <w:tcBorders>
              <w:top w:val="nil"/>
              <w:left w:val="double" w:sz="6" w:space="0" w:color="auto"/>
              <w:bottom w:val="single" w:sz="4" w:space="0" w:color="000000"/>
              <w:right w:val="single" w:sz="4" w:space="0" w:color="auto"/>
            </w:tcBorders>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neprijatí</w:t>
            </w:r>
          </w:p>
        </w:tc>
        <w:tc>
          <w:tcPr>
            <w:tcW w:w="1360" w:type="dxa"/>
            <w:vMerge w:val="restart"/>
            <w:tcBorders>
              <w:top w:val="nil"/>
              <w:left w:val="single" w:sz="4" w:space="0" w:color="auto"/>
              <w:bottom w:val="single" w:sz="4" w:space="0" w:color="000000"/>
              <w:right w:val="double" w:sz="6" w:space="0" w:color="auto"/>
            </w:tcBorders>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žiadosti                              o preskúmanie</w:t>
            </w:r>
          </w:p>
        </w:tc>
      </w:tr>
      <w:tr w:rsidR="00B51749" w:rsidRPr="00F0732E" w:rsidTr="00447572">
        <w:trPr>
          <w:trHeight w:val="32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lang w:eastAsia="sk-SK"/>
              </w:rPr>
            </w:pPr>
          </w:p>
        </w:tc>
        <w:tc>
          <w:tcPr>
            <w:tcW w:w="0" w:type="auto"/>
            <w:vMerge/>
            <w:tcBorders>
              <w:top w:val="nil"/>
              <w:left w:val="single" w:sz="4" w:space="0" w:color="auto"/>
              <w:bottom w:val="single" w:sz="4" w:space="0" w:color="000000"/>
              <w:right w:val="double" w:sz="6" w:space="0" w:color="auto"/>
            </w:tcBorders>
            <w:vAlign w:val="center"/>
            <w:hideMark/>
          </w:tcPr>
          <w:p w:rsidR="00B51749" w:rsidRPr="00F0732E" w:rsidRDefault="00B51749" w:rsidP="00447572">
            <w:pPr>
              <w:rPr>
                <w:rFonts w:eastAsia="Times New Roman" w:cs="Arial"/>
                <w:lang w:eastAsia="sk-SK"/>
              </w:rPr>
            </w:pPr>
          </w:p>
        </w:tc>
        <w:tc>
          <w:tcPr>
            <w:tcW w:w="0" w:type="auto"/>
            <w:vMerge/>
            <w:tcBorders>
              <w:top w:val="nil"/>
              <w:left w:val="double" w:sz="6" w:space="0" w:color="auto"/>
              <w:bottom w:val="single" w:sz="4" w:space="0" w:color="000000"/>
              <w:right w:val="single" w:sz="4" w:space="0" w:color="auto"/>
            </w:tcBorders>
            <w:vAlign w:val="center"/>
            <w:hideMark/>
          </w:tcPr>
          <w:p w:rsidR="00B51749" w:rsidRPr="00F0732E" w:rsidRDefault="00B51749" w:rsidP="00447572">
            <w:pPr>
              <w:rPr>
                <w:rFonts w:eastAsia="Times New Roman" w:cs="Arial"/>
                <w:lang w:eastAsia="sk-SK"/>
              </w:rPr>
            </w:pPr>
          </w:p>
        </w:tc>
        <w:tc>
          <w:tcPr>
            <w:tcW w:w="0" w:type="auto"/>
            <w:vMerge/>
            <w:tcBorders>
              <w:top w:val="nil"/>
              <w:left w:val="single" w:sz="4" w:space="0" w:color="auto"/>
              <w:bottom w:val="single" w:sz="4" w:space="0" w:color="000000"/>
              <w:right w:val="double" w:sz="6" w:space="0" w:color="auto"/>
            </w:tcBorders>
            <w:vAlign w:val="center"/>
            <w:hideMark/>
          </w:tcPr>
          <w:p w:rsidR="00B51749" w:rsidRPr="00F0732E" w:rsidRDefault="00B51749" w:rsidP="00447572">
            <w:pPr>
              <w:rPr>
                <w:rFonts w:eastAsia="Times New Roman" w:cs="Arial"/>
                <w:lang w:eastAsia="sk-SK"/>
              </w:rPr>
            </w:pPr>
          </w:p>
        </w:tc>
        <w:tc>
          <w:tcPr>
            <w:tcW w:w="0" w:type="auto"/>
            <w:vMerge/>
            <w:tcBorders>
              <w:top w:val="nil"/>
              <w:left w:val="double" w:sz="6" w:space="0" w:color="auto"/>
              <w:bottom w:val="single" w:sz="4" w:space="0" w:color="000000"/>
              <w:right w:val="single" w:sz="4" w:space="0" w:color="auto"/>
            </w:tcBorders>
            <w:vAlign w:val="center"/>
            <w:hideMark/>
          </w:tcPr>
          <w:p w:rsidR="00B51749" w:rsidRPr="00F0732E" w:rsidRDefault="00B51749" w:rsidP="00447572">
            <w:pPr>
              <w:rPr>
                <w:rFonts w:eastAsia="Times New Roman" w:cs="Arial"/>
                <w:lang w:eastAsia="sk-SK"/>
              </w:rPr>
            </w:pPr>
          </w:p>
        </w:tc>
        <w:tc>
          <w:tcPr>
            <w:tcW w:w="0" w:type="auto"/>
            <w:vMerge/>
            <w:tcBorders>
              <w:top w:val="nil"/>
              <w:left w:val="single" w:sz="4" w:space="0" w:color="auto"/>
              <w:bottom w:val="single" w:sz="4" w:space="0" w:color="000000"/>
              <w:right w:val="double" w:sz="6" w:space="0" w:color="auto"/>
            </w:tcBorders>
            <w:vAlign w:val="center"/>
            <w:hideMark/>
          </w:tcPr>
          <w:p w:rsidR="00B51749" w:rsidRPr="00F0732E" w:rsidRDefault="00B51749" w:rsidP="00447572">
            <w:pPr>
              <w:rPr>
                <w:rFonts w:eastAsia="Times New Roman" w:cs="Arial"/>
                <w:lang w:eastAsia="sk-SK"/>
              </w:rPr>
            </w:pPr>
          </w:p>
        </w:tc>
      </w:tr>
      <w:tr w:rsidR="00B51749" w:rsidRPr="00F0732E" w:rsidTr="00447572">
        <w:trPr>
          <w:trHeight w:val="300"/>
        </w:trPr>
        <w:tc>
          <w:tcPr>
            <w:tcW w:w="874" w:type="dxa"/>
            <w:tcBorders>
              <w:top w:val="nil"/>
              <w:left w:val="single" w:sz="4" w:space="0" w:color="auto"/>
              <w:bottom w:val="single" w:sz="4" w:space="0" w:color="auto"/>
              <w:right w:val="single" w:sz="4" w:space="0" w:color="auto"/>
            </w:tcBorders>
            <w:noWrap/>
            <w:vAlign w:val="bottom"/>
            <w:hideMark/>
          </w:tcPr>
          <w:p w:rsidR="00B51749" w:rsidRPr="00F0732E" w:rsidRDefault="00B51749" w:rsidP="00447572">
            <w:pPr>
              <w:rPr>
                <w:rFonts w:eastAsia="Times New Roman" w:cs="Arial"/>
                <w:b/>
                <w:bCs/>
                <w:lang w:eastAsia="sk-SK"/>
              </w:rPr>
            </w:pPr>
            <w:r w:rsidRPr="00F0732E">
              <w:rPr>
                <w:rFonts w:eastAsia="Times New Roman" w:cs="Arial"/>
                <w:b/>
                <w:bCs/>
                <w:lang w:eastAsia="sk-SK"/>
              </w:rPr>
              <w:t>STU</w:t>
            </w:r>
          </w:p>
        </w:tc>
        <w:tc>
          <w:tcPr>
            <w:tcW w:w="1606"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cs="Arial"/>
                <w:b/>
                <w:bCs/>
              </w:rPr>
            </w:pPr>
            <w:r w:rsidRPr="00F0732E">
              <w:rPr>
                <w:rFonts w:cs="Arial"/>
                <w:b/>
                <w:bCs/>
              </w:rPr>
              <w:t>1 271</w:t>
            </w:r>
          </w:p>
        </w:tc>
        <w:tc>
          <w:tcPr>
            <w:tcW w:w="1360" w:type="dxa"/>
            <w:tcBorders>
              <w:top w:val="nil"/>
              <w:left w:val="nil"/>
              <w:bottom w:val="single" w:sz="4" w:space="0" w:color="auto"/>
              <w:right w:val="double" w:sz="6" w:space="0" w:color="auto"/>
            </w:tcBorders>
            <w:noWrap/>
            <w:vAlign w:val="center"/>
            <w:hideMark/>
          </w:tcPr>
          <w:p w:rsidR="00B51749" w:rsidRPr="00F0732E" w:rsidRDefault="00B51749" w:rsidP="00447572">
            <w:pPr>
              <w:ind w:leftChars="-1" w:hangingChars="1" w:hanging="2"/>
              <w:jc w:val="center"/>
              <w:rPr>
                <w:rFonts w:cs="Arial"/>
                <w:b/>
                <w:bCs/>
              </w:rPr>
            </w:pPr>
            <w:r w:rsidRPr="00F0732E">
              <w:rPr>
                <w:rFonts w:cs="Arial"/>
                <w:b/>
                <w:bCs/>
              </w:rPr>
              <w:t>79</w:t>
            </w:r>
          </w:p>
        </w:tc>
        <w:tc>
          <w:tcPr>
            <w:tcW w:w="146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cs="Arial"/>
                <w:b/>
                <w:bCs/>
              </w:rPr>
            </w:pPr>
            <w:r w:rsidRPr="00F0732E">
              <w:rPr>
                <w:rFonts w:cs="Arial"/>
                <w:b/>
                <w:bCs/>
              </w:rPr>
              <w:t>318</w:t>
            </w:r>
          </w:p>
        </w:tc>
        <w:tc>
          <w:tcPr>
            <w:tcW w:w="1258" w:type="dxa"/>
            <w:tcBorders>
              <w:top w:val="nil"/>
              <w:left w:val="nil"/>
              <w:bottom w:val="single" w:sz="4" w:space="0" w:color="auto"/>
              <w:right w:val="double" w:sz="6" w:space="0" w:color="auto"/>
            </w:tcBorders>
            <w:noWrap/>
            <w:vAlign w:val="center"/>
            <w:hideMark/>
          </w:tcPr>
          <w:p w:rsidR="00B51749" w:rsidRPr="00F0732E" w:rsidRDefault="00B51749" w:rsidP="00447572">
            <w:pPr>
              <w:jc w:val="center"/>
              <w:rPr>
                <w:rFonts w:cs="Arial"/>
                <w:b/>
                <w:bCs/>
              </w:rPr>
            </w:pPr>
            <w:r w:rsidRPr="00F0732E">
              <w:rPr>
                <w:rFonts w:cs="Arial"/>
                <w:b/>
                <w:bCs/>
              </w:rPr>
              <w:t>3</w:t>
            </w:r>
          </w:p>
        </w:tc>
        <w:tc>
          <w:tcPr>
            <w:tcW w:w="1460" w:type="dxa"/>
            <w:tcBorders>
              <w:top w:val="nil"/>
              <w:left w:val="nil"/>
              <w:bottom w:val="single" w:sz="4" w:space="0" w:color="auto"/>
              <w:right w:val="single" w:sz="4" w:space="0" w:color="auto"/>
            </w:tcBorders>
            <w:noWrap/>
            <w:vAlign w:val="center"/>
            <w:hideMark/>
          </w:tcPr>
          <w:p w:rsidR="00B51749" w:rsidRPr="00F0732E" w:rsidRDefault="00B51749" w:rsidP="007D46CC">
            <w:pPr>
              <w:ind w:firstLineChars="13" w:firstLine="31"/>
              <w:jc w:val="center"/>
              <w:rPr>
                <w:rFonts w:cs="Arial"/>
                <w:b/>
                <w:bCs/>
              </w:rPr>
            </w:pPr>
            <w:r w:rsidRPr="00F0732E">
              <w:rPr>
                <w:rFonts w:cs="Arial"/>
                <w:b/>
                <w:bCs/>
              </w:rPr>
              <w:t>115</w:t>
            </w:r>
          </w:p>
        </w:tc>
        <w:tc>
          <w:tcPr>
            <w:tcW w:w="1360" w:type="dxa"/>
            <w:tcBorders>
              <w:top w:val="nil"/>
              <w:left w:val="nil"/>
              <w:bottom w:val="single" w:sz="4" w:space="0" w:color="auto"/>
              <w:right w:val="double" w:sz="6" w:space="0" w:color="auto"/>
            </w:tcBorders>
            <w:noWrap/>
            <w:vAlign w:val="center"/>
            <w:hideMark/>
          </w:tcPr>
          <w:p w:rsidR="00B51749" w:rsidRPr="00F0732E" w:rsidRDefault="00B51749" w:rsidP="00447572">
            <w:pPr>
              <w:jc w:val="center"/>
              <w:rPr>
                <w:rFonts w:cs="Arial"/>
                <w:b/>
                <w:bCs/>
              </w:rPr>
            </w:pPr>
            <w:r w:rsidRPr="00F0732E">
              <w:rPr>
                <w:rFonts w:cs="Arial"/>
                <w:b/>
                <w:bCs/>
              </w:rPr>
              <w:t>11</w:t>
            </w:r>
          </w:p>
        </w:tc>
      </w:tr>
    </w:tbl>
    <w:p w:rsidR="00B51749" w:rsidRPr="00F0732E" w:rsidRDefault="00B51749" w:rsidP="00B51749">
      <w:pPr>
        <w:tabs>
          <w:tab w:val="left" w:pos="0"/>
          <w:tab w:val="left" w:pos="6983"/>
        </w:tabs>
        <w:rPr>
          <w:rFonts w:cs="Calibri"/>
          <w:sz w:val="28"/>
          <w:szCs w:val="28"/>
        </w:rPr>
      </w:pPr>
      <w:r w:rsidRPr="00F0732E">
        <w:rPr>
          <w:rFonts w:cs="Calibri"/>
        </w:rPr>
        <w:tab/>
      </w:r>
    </w:p>
    <w:p w:rsidR="00B51749" w:rsidRPr="00F0732E" w:rsidRDefault="00B51749" w:rsidP="00B51749">
      <w:pPr>
        <w:tabs>
          <w:tab w:val="left" w:pos="0"/>
          <w:tab w:val="left" w:pos="284"/>
        </w:tabs>
        <w:rPr>
          <w:rFonts w:cs="Calibri"/>
          <w:sz w:val="28"/>
          <w:szCs w:val="28"/>
        </w:rPr>
      </w:pPr>
    </w:p>
    <w:p w:rsidR="00B51749" w:rsidRPr="00F0732E" w:rsidRDefault="00B51749" w:rsidP="00B51749">
      <w:pPr>
        <w:tabs>
          <w:tab w:val="left" w:pos="0"/>
          <w:tab w:val="left" w:pos="284"/>
        </w:tabs>
        <w:rPr>
          <w:rFonts w:cs="Calibri"/>
          <w:b/>
          <w:sz w:val="28"/>
          <w:szCs w:val="28"/>
        </w:rPr>
      </w:pPr>
      <w:r w:rsidRPr="00F0732E">
        <w:rPr>
          <w:rFonts w:cs="Calibri"/>
          <w:b/>
          <w:sz w:val="28"/>
          <w:szCs w:val="28"/>
        </w:rPr>
        <w:t xml:space="preserve">Graf 3.12: Počet žiadostí o preskúmanie rozhodnutí dekana o neprijatí na štúdium v akad. roku 2014/2015 </w:t>
      </w:r>
    </w:p>
    <w:p w:rsidR="00B51749" w:rsidRPr="00F0732E" w:rsidRDefault="00B51749" w:rsidP="00B51749">
      <w:pPr>
        <w:tabs>
          <w:tab w:val="left" w:pos="0"/>
          <w:tab w:val="left" w:pos="284"/>
        </w:tabs>
        <w:rPr>
          <w:rFonts w:cs="Calibri"/>
          <w:b/>
          <w:sz w:val="28"/>
          <w:szCs w:val="28"/>
        </w:rPr>
      </w:pPr>
      <w:r>
        <w:rPr>
          <w:noProof/>
          <w:sz w:val="28"/>
          <w:szCs w:val="28"/>
          <w:lang w:eastAsia="sk-SK"/>
        </w:rPr>
        <w:lastRenderedPageBreak/>
        <w:drawing>
          <wp:inline distT="0" distB="0" distL="0" distR="0">
            <wp:extent cx="4452620" cy="2475230"/>
            <wp:effectExtent l="0" t="0" r="24130" b="20320"/>
            <wp:docPr id="34" name="Graf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1749" w:rsidRPr="00F0732E" w:rsidRDefault="00B51749" w:rsidP="00B51749">
      <w:pPr>
        <w:tabs>
          <w:tab w:val="left" w:pos="0"/>
          <w:tab w:val="left" w:pos="284"/>
        </w:tabs>
        <w:rPr>
          <w:rFonts w:cs="Calibri"/>
          <w:b/>
          <w:sz w:val="28"/>
          <w:szCs w:val="28"/>
        </w:rPr>
      </w:pPr>
    </w:p>
    <w:p w:rsidR="00B51749" w:rsidRPr="00F0732E" w:rsidRDefault="00B51749" w:rsidP="00B51749">
      <w:pPr>
        <w:tabs>
          <w:tab w:val="left" w:pos="0"/>
          <w:tab w:val="left" w:pos="284"/>
        </w:tabs>
        <w:rPr>
          <w:b/>
          <w:sz w:val="28"/>
          <w:szCs w:val="28"/>
        </w:rPr>
      </w:pPr>
    </w:p>
    <w:p w:rsidR="00B51749" w:rsidRPr="0000089C" w:rsidRDefault="00B51749" w:rsidP="0000089C">
      <w:pPr>
        <w:pStyle w:val="Nadpis3"/>
        <w:rPr>
          <w:rFonts w:ascii="Cambria" w:hAnsi="Cambria"/>
          <w:color w:val="auto"/>
          <w:sz w:val="28"/>
          <w:szCs w:val="28"/>
        </w:rPr>
      </w:pPr>
      <w:r w:rsidRPr="00F0732E">
        <w:rPr>
          <w:rFonts w:ascii="Cambria" w:hAnsi="Cambria"/>
          <w:color w:val="auto"/>
          <w:sz w:val="28"/>
          <w:szCs w:val="28"/>
        </w:rPr>
        <w:t xml:space="preserve"> </w:t>
      </w:r>
      <w:bookmarkStart w:id="17" w:name="_Toc413009320"/>
      <w:r w:rsidRPr="00F0732E">
        <w:rPr>
          <w:rFonts w:ascii="Cambria" w:hAnsi="Cambria"/>
          <w:color w:val="auto"/>
          <w:sz w:val="28"/>
          <w:szCs w:val="28"/>
        </w:rPr>
        <w:t>Vyhodnotenie prijímacieho konania na STU na akademický rok 2014/2015</w:t>
      </w:r>
      <w:bookmarkEnd w:id="17"/>
    </w:p>
    <w:p w:rsidR="00B51749" w:rsidRPr="00F0732E" w:rsidRDefault="00B51749" w:rsidP="00B51749">
      <w:pPr>
        <w:rPr>
          <w:color w:val="FF0000"/>
          <w:sz w:val="28"/>
          <w:szCs w:val="28"/>
        </w:rPr>
      </w:pPr>
    </w:p>
    <w:p w:rsidR="00B51749" w:rsidRPr="00F0732E" w:rsidRDefault="00B51749" w:rsidP="00B51749">
      <w:pPr>
        <w:ind w:right="275"/>
        <w:rPr>
          <w:rFonts w:cs="Cambria"/>
          <w:b/>
          <w:sz w:val="28"/>
          <w:szCs w:val="28"/>
        </w:rPr>
      </w:pPr>
      <w:r w:rsidRPr="00F0732E">
        <w:rPr>
          <w:rFonts w:cs="Cambria"/>
          <w:sz w:val="28"/>
          <w:szCs w:val="28"/>
        </w:rPr>
        <w:t xml:space="preserve">V prijímacom konaní 2014/2015 bolo celkovo zapísaných 4 473 študentov na prvom stupni štúdia; 2 084 zapísaných študentov na druhom stupni štúdia a na treťom stupni štúdia 260 zapísaných študentov (189 v dennej forme a 71 v  externej forme). </w:t>
      </w:r>
      <w:r w:rsidRPr="00F0732E">
        <w:rPr>
          <w:rFonts w:cs="Cambria"/>
          <w:b/>
          <w:sz w:val="28"/>
          <w:szCs w:val="28"/>
        </w:rPr>
        <w:t>Spolu sa tak zapísalo 6 817 nových študentov.</w:t>
      </w:r>
    </w:p>
    <w:p w:rsidR="00B51749" w:rsidRPr="00F0732E" w:rsidRDefault="00B51749" w:rsidP="00B51749">
      <w:pPr>
        <w:ind w:right="275"/>
        <w:rPr>
          <w:rFonts w:cs="Cambria"/>
          <w:sz w:val="28"/>
          <w:szCs w:val="28"/>
        </w:rPr>
      </w:pPr>
      <w:r w:rsidRPr="00F0732E">
        <w:rPr>
          <w:rFonts w:cs="Cambria"/>
          <w:sz w:val="28"/>
          <w:szCs w:val="28"/>
        </w:rPr>
        <w:t xml:space="preserve">Oproti akademickému roku 2013/2014 to znamená pokles o 12 % na prvom stupni štúdia, pokles o 3,2 % na druhom stupni štúdia a pokles o 13,3 % na treťom stupni štúdia. </w:t>
      </w:r>
    </w:p>
    <w:p w:rsidR="00B51749" w:rsidRPr="00F0732E" w:rsidRDefault="00B51749" w:rsidP="00B51749">
      <w:pPr>
        <w:ind w:right="275"/>
        <w:rPr>
          <w:rFonts w:cs="Cambria"/>
          <w:b/>
          <w:sz w:val="28"/>
          <w:szCs w:val="28"/>
        </w:rPr>
      </w:pPr>
      <w:r w:rsidRPr="00F0732E">
        <w:rPr>
          <w:rFonts w:cs="Cambria"/>
          <w:b/>
          <w:sz w:val="28"/>
          <w:szCs w:val="28"/>
        </w:rPr>
        <w:t>Pokles na prvom stupni štúdia je spôsobený hlavne výrazným poklesom maturantov SR až o 10,8 % oproti minulému roku. Pokles na treťom stupni štúdia v dennej forme vyplýva hlavne zo zmenného modelu financovania od ak. roku 2011/2012, odkedy si počty študentov určujú samotné fakulty.</w:t>
      </w:r>
    </w:p>
    <w:p w:rsidR="00B51749" w:rsidRPr="00F0732E" w:rsidRDefault="00B51749" w:rsidP="00B51749">
      <w:pPr>
        <w:ind w:right="275"/>
        <w:rPr>
          <w:rFonts w:cs="Cambria"/>
          <w:sz w:val="28"/>
          <w:szCs w:val="28"/>
        </w:rPr>
      </w:pPr>
    </w:p>
    <w:p w:rsidR="00C10290" w:rsidRPr="00C10290" w:rsidRDefault="00B51749" w:rsidP="00C10290">
      <w:pPr>
        <w:rPr>
          <w:rFonts w:asciiTheme="majorHAnsi" w:hAnsiTheme="majorHAnsi" w:cs="Calibri"/>
          <w:sz w:val="28"/>
          <w:szCs w:val="28"/>
        </w:rPr>
      </w:pPr>
      <w:r w:rsidRPr="00F0732E">
        <w:rPr>
          <w:rFonts w:cs="Calibri"/>
          <w:b/>
          <w:sz w:val="28"/>
          <w:szCs w:val="28"/>
        </w:rPr>
        <w:t xml:space="preserve">Tabuľka 3.24: Počet uchádzačov na STU v porovnaní </w:t>
      </w:r>
      <w:r w:rsidRPr="00C10290">
        <w:rPr>
          <w:rFonts w:cs="Calibri"/>
          <w:b/>
          <w:sz w:val="28"/>
          <w:szCs w:val="28"/>
        </w:rPr>
        <w:t>s predchádzajúcim akad. rokom</w:t>
      </w:r>
    </w:p>
    <w:tbl>
      <w:tblPr>
        <w:tblW w:w="5240" w:type="dxa"/>
        <w:tblInd w:w="75" w:type="dxa"/>
        <w:tblCellMar>
          <w:left w:w="70" w:type="dxa"/>
          <w:right w:w="70" w:type="dxa"/>
        </w:tblCellMar>
        <w:tblLook w:val="04A0" w:firstRow="1" w:lastRow="0" w:firstColumn="1" w:lastColumn="0" w:noHBand="0" w:noVBand="1"/>
      </w:tblPr>
      <w:tblGrid>
        <w:gridCol w:w="959"/>
        <w:gridCol w:w="1208"/>
        <w:gridCol w:w="1208"/>
        <w:gridCol w:w="978"/>
        <w:gridCol w:w="978"/>
      </w:tblGrid>
      <w:tr w:rsidR="00C10290" w:rsidRPr="00C10290" w:rsidTr="0000089C">
        <w:trPr>
          <w:trHeight w:val="510"/>
        </w:trPr>
        <w:tc>
          <w:tcPr>
            <w:tcW w:w="1054" w:type="dxa"/>
            <w:tcBorders>
              <w:top w:val="single" w:sz="4" w:space="0" w:color="auto"/>
              <w:left w:val="single" w:sz="4" w:space="0" w:color="auto"/>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i/>
                <w:iCs/>
                <w:sz w:val="28"/>
                <w:szCs w:val="28"/>
                <w:lang w:eastAsia="sk-SK"/>
              </w:rPr>
            </w:pPr>
            <w:r w:rsidRPr="00C10290">
              <w:rPr>
                <w:rFonts w:asciiTheme="majorHAnsi" w:eastAsia="Times New Roman" w:hAnsiTheme="majorHAnsi" w:cs="Arial"/>
                <w:i/>
                <w:iCs/>
                <w:sz w:val="28"/>
                <w:szCs w:val="28"/>
                <w:lang w:eastAsia="sk-SK"/>
              </w:rPr>
              <w:t> </w:t>
            </w:r>
          </w:p>
        </w:tc>
        <w:tc>
          <w:tcPr>
            <w:tcW w:w="1046" w:type="dxa"/>
            <w:tcBorders>
              <w:top w:val="single" w:sz="4" w:space="0" w:color="auto"/>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2013/14</w:t>
            </w:r>
          </w:p>
        </w:tc>
        <w:tc>
          <w:tcPr>
            <w:tcW w:w="1047" w:type="dxa"/>
            <w:tcBorders>
              <w:top w:val="single" w:sz="4" w:space="0" w:color="auto"/>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2014/15</w:t>
            </w:r>
          </w:p>
        </w:tc>
        <w:tc>
          <w:tcPr>
            <w:tcW w:w="1046" w:type="dxa"/>
            <w:tcBorders>
              <w:top w:val="single" w:sz="4" w:space="0" w:color="auto"/>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rozdiel</w:t>
            </w:r>
          </w:p>
        </w:tc>
        <w:tc>
          <w:tcPr>
            <w:tcW w:w="1047" w:type="dxa"/>
            <w:tcBorders>
              <w:top w:val="single" w:sz="4" w:space="0" w:color="auto"/>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rozdiel v %</w:t>
            </w:r>
          </w:p>
        </w:tc>
      </w:tr>
      <w:tr w:rsidR="00C10290" w:rsidRPr="00C10290" w:rsidTr="0000089C">
        <w:trPr>
          <w:trHeight w:val="255"/>
        </w:trPr>
        <w:tc>
          <w:tcPr>
            <w:tcW w:w="1054" w:type="dxa"/>
            <w:tcBorders>
              <w:top w:val="nil"/>
              <w:left w:val="single" w:sz="4" w:space="0" w:color="auto"/>
              <w:bottom w:val="single" w:sz="4" w:space="0" w:color="auto"/>
              <w:right w:val="single" w:sz="4" w:space="0" w:color="auto"/>
            </w:tcBorders>
            <w:vAlign w:val="center"/>
            <w:hideMark/>
          </w:tcPr>
          <w:p w:rsidR="00C10290" w:rsidRPr="00C10290" w:rsidRDefault="00C10290" w:rsidP="0000089C">
            <w:pPr>
              <w:rPr>
                <w:rFonts w:asciiTheme="majorHAnsi" w:hAnsiTheme="majorHAnsi" w:cs="Arial"/>
                <w:sz w:val="28"/>
                <w:szCs w:val="28"/>
              </w:rPr>
            </w:pPr>
            <w:r w:rsidRPr="00C10290">
              <w:rPr>
                <w:rFonts w:asciiTheme="majorHAnsi" w:hAnsiTheme="majorHAnsi" w:cs="Arial"/>
                <w:sz w:val="28"/>
                <w:szCs w:val="28"/>
              </w:rPr>
              <w:t>I. stupeň</w:t>
            </w:r>
          </w:p>
        </w:tc>
        <w:tc>
          <w:tcPr>
            <w:tcW w:w="1046"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9 299</w:t>
            </w:r>
          </w:p>
        </w:tc>
        <w:tc>
          <w:tcPr>
            <w:tcW w:w="1047"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7 931</w:t>
            </w:r>
          </w:p>
        </w:tc>
        <w:tc>
          <w:tcPr>
            <w:tcW w:w="1046"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-1 368</w:t>
            </w:r>
          </w:p>
        </w:tc>
        <w:tc>
          <w:tcPr>
            <w:tcW w:w="1047"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-14,7%</w:t>
            </w:r>
          </w:p>
        </w:tc>
      </w:tr>
      <w:tr w:rsidR="00C10290" w:rsidRPr="00C10290" w:rsidTr="0000089C">
        <w:trPr>
          <w:trHeight w:val="255"/>
        </w:trPr>
        <w:tc>
          <w:tcPr>
            <w:tcW w:w="1054" w:type="dxa"/>
            <w:tcBorders>
              <w:top w:val="nil"/>
              <w:left w:val="single" w:sz="4" w:space="0" w:color="auto"/>
              <w:bottom w:val="single" w:sz="4" w:space="0" w:color="auto"/>
              <w:right w:val="single" w:sz="4" w:space="0" w:color="auto"/>
            </w:tcBorders>
            <w:vAlign w:val="center"/>
            <w:hideMark/>
          </w:tcPr>
          <w:p w:rsidR="00C10290" w:rsidRPr="00C10290" w:rsidRDefault="00C10290" w:rsidP="0000089C">
            <w:pPr>
              <w:rPr>
                <w:rFonts w:asciiTheme="majorHAnsi" w:hAnsiTheme="majorHAnsi" w:cs="Arial"/>
                <w:sz w:val="28"/>
                <w:szCs w:val="28"/>
              </w:rPr>
            </w:pPr>
            <w:r w:rsidRPr="00C10290">
              <w:rPr>
                <w:rFonts w:asciiTheme="majorHAnsi" w:hAnsiTheme="majorHAnsi" w:cs="Arial"/>
                <w:sz w:val="28"/>
                <w:szCs w:val="28"/>
              </w:rPr>
              <w:t>II. stupeň</w:t>
            </w:r>
          </w:p>
        </w:tc>
        <w:tc>
          <w:tcPr>
            <w:tcW w:w="1046"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2 692</w:t>
            </w:r>
          </w:p>
        </w:tc>
        <w:tc>
          <w:tcPr>
            <w:tcW w:w="1047"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2 637</w:t>
            </w:r>
          </w:p>
        </w:tc>
        <w:tc>
          <w:tcPr>
            <w:tcW w:w="1046"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-55</w:t>
            </w:r>
          </w:p>
        </w:tc>
        <w:tc>
          <w:tcPr>
            <w:tcW w:w="1047"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-2,0%</w:t>
            </w:r>
          </w:p>
        </w:tc>
      </w:tr>
      <w:tr w:rsidR="00C10290" w:rsidRPr="00C10290" w:rsidTr="0000089C">
        <w:trPr>
          <w:trHeight w:val="255"/>
        </w:trPr>
        <w:tc>
          <w:tcPr>
            <w:tcW w:w="1054" w:type="dxa"/>
            <w:tcBorders>
              <w:top w:val="nil"/>
              <w:left w:val="single" w:sz="4" w:space="0" w:color="auto"/>
              <w:bottom w:val="single" w:sz="4" w:space="0" w:color="auto"/>
              <w:right w:val="single" w:sz="4" w:space="0" w:color="auto"/>
            </w:tcBorders>
            <w:vAlign w:val="center"/>
            <w:hideMark/>
          </w:tcPr>
          <w:p w:rsidR="00C10290" w:rsidRPr="00C10290" w:rsidRDefault="00C10290" w:rsidP="0000089C">
            <w:pPr>
              <w:rPr>
                <w:rFonts w:asciiTheme="majorHAnsi" w:hAnsiTheme="majorHAnsi" w:cs="Arial"/>
                <w:sz w:val="28"/>
                <w:szCs w:val="28"/>
              </w:rPr>
            </w:pPr>
            <w:r w:rsidRPr="00C10290">
              <w:rPr>
                <w:rFonts w:asciiTheme="majorHAnsi" w:hAnsiTheme="majorHAnsi" w:cs="Arial"/>
                <w:sz w:val="28"/>
                <w:szCs w:val="28"/>
              </w:rPr>
              <w:t>III. stupeň</w:t>
            </w:r>
          </w:p>
        </w:tc>
        <w:tc>
          <w:tcPr>
            <w:tcW w:w="1046"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451</w:t>
            </w:r>
          </w:p>
        </w:tc>
        <w:tc>
          <w:tcPr>
            <w:tcW w:w="1047" w:type="dxa"/>
            <w:tcBorders>
              <w:top w:val="nil"/>
              <w:left w:val="nil"/>
              <w:bottom w:val="single" w:sz="4" w:space="0" w:color="auto"/>
              <w:right w:val="single" w:sz="4" w:space="0" w:color="auto"/>
            </w:tcBorders>
            <w:shd w:val="clear" w:color="auto" w:fill="FFFFFF"/>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396</w:t>
            </w:r>
          </w:p>
        </w:tc>
        <w:tc>
          <w:tcPr>
            <w:tcW w:w="1046"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-55</w:t>
            </w:r>
          </w:p>
        </w:tc>
        <w:tc>
          <w:tcPr>
            <w:tcW w:w="1047" w:type="dxa"/>
            <w:tcBorders>
              <w:top w:val="nil"/>
              <w:left w:val="nil"/>
              <w:bottom w:val="single" w:sz="4" w:space="0" w:color="auto"/>
              <w:right w:val="single" w:sz="4" w:space="0" w:color="auto"/>
            </w:tcBorders>
            <w:vAlign w:val="center"/>
            <w:hideMark/>
          </w:tcPr>
          <w:p w:rsidR="00C10290" w:rsidRPr="00C10290" w:rsidRDefault="00C10290" w:rsidP="0000089C">
            <w:pPr>
              <w:jc w:val="center"/>
              <w:rPr>
                <w:rFonts w:asciiTheme="majorHAnsi" w:eastAsia="Times New Roman" w:hAnsiTheme="majorHAnsi" w:cs="Arial"/>
                <w:sz w:val="28"/>
                <w:szCs w:val="28"/>
                <w:lang w:eastAsia="sk-SK"/>
              </w:rPr>
            </w:pPr>
            <w:r w:rsidRPr="00C10290">
              <w:rPr>
                <w:rFonts w:asciiTheme="majorHAnsi" w:eastAsia="Times New Roman" w:hAnsiTheme="majorHAnsi" w:cs="Arial"/>
                <w:sz w:val="28"/>
                <w:szCs w:val="28"/>
                <w:lang w:eastAsia="sk-SK"/>
              </w:rPr>
              <w:t>-12,2%</w:t>
            </w:r>
          </w:p>
        </w:tc>
      </w:tr>
    </w:tbl>
    <w:p w:rsidR="00B51749" w:rsidRPr="00F0732E" w:rsidRDefault="00B51749" w:rsidP="00C10290">
      <w:pPr>
        <w:rPr>
          <w:rFonts w:cs="Calibri"/>
          <w:sz w:val="28"/>
          <w:szCs w:val="28"/>
        </w:rPr>
      </w:pPr>
    </w:p>
    <w:p w:rsidR="00B51749" w:rsidRPr="00F0732E" w:rsidRDefault="00B51749" w:rsidP="00B51749">
      <w:pPr>
        <w:shd w:val="clear" w:color="auto" w:fill="FFFFFF"/>
        <w:tabs>
          <w:tab w:val="left" w:pos="0"/>
          <w:tab w:val="left" w:pos="284"/>
        </w:tabs>
        <w:rPr>
          <w:rFonts w:cs="Calibri"/>
          <w:b/>
          <w:sz w:val="28"/>
          <w:szCs w:val="28"/>
        </w:rPr>
      </w:pPr>
      <w:r w:rsidRPr="00F0732E">
        <w:rPr>
          <w:rFonts w:cs="Calibri"/>
          <w:b/>
          <w:sz w:val="28"/>
          <w:szCs w:val="28"/>
        </w:rPr>
        <w:t>Tabuľka 3.25: Počet zapísaných študentov na STU v porovnaní s predchádzajúcim akad. rokom</w:t>
      </w:r>
    </w:p>
    <w:tbl>
      <w:tblPr>
        <w:tblW w:w="5382" w:type="dxa"/>
        <w:tblInd w:w="75" w:type="dxa"/>
        <w:tblLayout w:type="fixed"/>
        <w:tblCellMar>
          <w:left w:w="70" w:type="dxa"/>
          <w:right w:w="70" w:type="dxa"/>
        </w:tblCellMar>
        <w:tblLook w:val="04A0" w:firstRow="1" w:lastRow="0" w:firstColumn="1" w:lastColumn="0" w:noHBand="0" w:noVBand="1"/>
      </w:tblPr>
      <w:tblGrid>
        <w:gridCol w:w="1054"/>
        <w:gridCol w:w="1046"/>
        <w:gridCol w:w="1047"/>
        <w:gridCol w:w="1046"/>
        <w:gridCol w:w="1189"/>
      </w:tblGrid>
      <w:tr w:rsidR="00B51749" w:rsidRPr="00F0732E" w:rsidTr="00447572">
        <w:trPr>
          <w:trHeight w:val="292"/>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1046" w:type="dxa"/>
            <w:tcBorders>
              <w:top w:val="single" w:sz="4" w:space="0" w:color="auto"/>
              <w:left w:val="nil"/>
              <w:bottom w:val="single" w:sz="4" w:space="0" w:color="auto"/>
              <w:right w:val="single" w:sz="4" w:space="0" w:color="auto"/>
            </w:tcBorders>
            <w:shd w:val="clear" w:color="auto" w:fill="FFFFFF"/>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2013/14</w:t>
            </w:r>
          </w:p>
        </w:tc>
        <w:tc>
          <w:tcPr>
            <w:tcW w:w="1047" w:type="dxa"/>
            <w:tcBorders>
              <w:top w:val="single" w:sz="4" w:space="0" w:color="auto"/>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2014/15</w:t>
            </w:r>
          </w:p>
        </w:tc>
        <w:tc>
          <w:tcPr>
            <w:tcW w:w="1046"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rozdiel</w:t>
            </w:r>
          </w:p>
        </w:tc>
        <w:tc>
          <w:tcPr>
            <w:tcW w:w="1189"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rozdiel v %</w:t>
            </w:r>
          </w:p>
        </w:tc>
      </w:tr>
      <w:tr w:rsidR="00B51749" w:rsidRPr="00F0732E" w:rsidTr="00447572">
        <w:trPr>
          <w:trHeight w:val="255"/>
        </w:trPr>
        <w:tc>
          <w:tcPr>
            <w:tcW w:w="1054"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cs="Arial"/>
                <w:sz w:val="28"/>
                <w:szCs w:val="28"/>
              </w:rPr>
            </w:pPr>
            <w:r w:rsidRPr="00F0732E">
              <w:rPr>
                <w:rFonts w:cs="Arial"/>
                <w:sz w:val="28"/>
                <w:szCs w:val="28"/>
              </w:rPr>
              <w:t>I. stupeň</w:t>
            </w:r>
          </w:p>
        </w:tc>
        <w:tc>
          <w:tcPr>
            <w:tcW w:w="1046"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5 084</w:t>
            </w:r>
          </w:p>
        </w:tc>
        <w:tc>
          <w:tcPr>
            <w:tcW w:w="1047"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4 473</w:t>
            </w:r>
          </w:p>
        </w:tc>
        <w:tc>
          <w:tcPr>
            <w:tcW w:w="1046"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-611</w:t>
            </w:r>
          </w:p>
        </w:tc>
        <w:tc>
          <w:tcPr>
            <w:tcW w:w="1189"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-12,0%</w:t>
            </w:r>
          </w:p>
        </w:tc>
      </w:tr>
      <w:tr w:rsidR="00B51749" w:rsidRPr="00F0732E" w:rsidTr="00447572">
        <w:trPr>
          <w:trHeight w:val="255"/>
        </w:trPr>
        <w:tc>
          <w:tcPr>
            <w:tcW w:w="1054"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cs="Arial"/>
                <w:sz w:val="28"/>
                <w:szCs w:val="28"/>
              </w:rPr>
            </w:pPr>
            <w:r w:rsidRPr="00F0732E">
              <w:rPr>
                <w:rFonts w:cs="Arial"/>
                <w:sz w:val="28"/>
                <w:szCs w:val="28"/>
              </w:rPr>
              <w:t>II. stupeň</w:t>
            </w:r>
          </w:p>
        </w:tc>
        <w:tc>
          <w:tcPr>
            <w:tcW w:w="1046"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2 153</w:t>
            </w:r>
          </w:p>
        </w:tc>
        <w:tc>
          <w:tcPr>
            <w:tcW w:w="1047"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2 084</w:t>
            </w:r>
          </w:p>
        </w:tc>
        <w:tc>
          <w:tcPr>
            <w:tcW w:w="1046"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-69</w:t>
            </w:r>
          </w:p>
        </w:tc>
        <w:tc>
          <w:tcPr>
            <w:tcW w:w="1189"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-3,2%</w:t>
            </w:r>
          </w:p>
        </w:tc>
      </w:tr>
      <w:tr w:rsidR="00B51749" w:rsidRPr="00F0732E" w:rsidTr="00447572">
        <w:trPr>
          <w:trHeight w:val="255"/>
        </w:trPr>
        <w:tc>
          <w:tcPr>
            <w:tcW w:w="1054"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cs="Arial"/>
                <w:sz w:val="28"/>
                <w:szCs w:val="28"/>
              </w:rPr>
            </w:pPr>
            <w:r w:rsidRPr="00F0732E">
              <w:rPr>
                <w:rFonts w:cs="Arial"/>
                <w:sz w:val="28"/>
                <w:szCs w:val="28"/>
              </w:rPr>
              <w:t>III. stupeň</w:t>
            </w:r>
          </w:p>
        </w:tc>
        <w:tc>
          <w:tcPr>
            <w:tcW w:w="1046"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300</w:t>
            </w:r>
          </w:p>
        </w:tc>
        <w:tc>
          <w:tcPr>
            <w:tcW w:w="1047" w:type="dxa"/>
            <w:tcBorders>
              <w:top w:val="nil"/>
              <w:left w:val="nil"/>
              <w:bottom w:val="single" w:sz="4" w:space="0" w:color="auto"/>
              <w:right w:val="single" w:sz="4" w:space="0" w:color="auto"/>
            </w:tcBorders>
            <w:shd w:val="clear" w:color="auto" w:fill="FFFFFF"/>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260</w:t>
            </w:r>
          </w:p>
        </w:tc>
        <w:tc>
          <w:tcPr>
            <w:tcW w:w="1046"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w:t>
            </w:r>
          </w:p>
        </w:tc>
        <w:tc>
          <w:tcPr>
            <w:tcW w:w="1189"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-13,3%</w:t>
            </w:r>
          </w:p>
        </w:tc>
      </w:tr>
    </w:tbl>
    <w:p w:rsidR="00B51749" w:rsidRPr="0000089C" w:rsidRDefault="00B51749" w:rsidP="00B51749">
      <w:pPr>
        <w:rPr>
          <w:rFonts w:cs="Calibri"/>
          <w:sz w:val="28"/>
          <w:szCs w:val="28"/>
          <w:shd w:val="clear" w:color="auto" w:fill="FFFFFF"/>
        </w:rPr>
      </w:pPr>
    </w:p>
    <w:p w:rsidR="00B51749" w:rsidRPr="00F0732E" w:rsidRDefault="00B51749" w:rsidP="00B51749">
      <w:pPr>
        <w:pStyle w:val="Nadpis2"/>
        <w:rPr>
          <w:rFonts w:ascii="Cambria" w:hAnsi="Cambria"/>
          <w:color w:val="auto"/>
        </w:rPr>
      </w:pPr>
      <w:bookmarkStart w:id="18" w:name="_Toc413009321"/>
      <w:r w:rsidRPr="00F0732E">
        <w:rPr>
          <w:rFonts w:ascii="Cambria" w:hAnsi="Cambria"/>
          <w:color w:val="auto"/>
        </w:rPr>
        <w:t>Údaje o absolventoch vysokoškolského štúdia</w:t>
      </w:r>
      <w:bookmarkEnd w:id="18"/>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shd w:val="clear" w:color="auto" w:fill="FFFFFF"/>
        </w:rPr>
      </w:pPr>
      <w:r w:rsidRPr="00F0732E">
        <w:rPr>
          <w:rFonts w:cs="Calibri"/>
          <w:sz w:val="28"/>
          <w:szCs w:val="28"/>
          <w:shd w:val="clear" w:color="auto" w:fill="FFFFFF"/>
        </w:rPr>
        <w:t xml:space="preserve">V akademickom roku 2013/2014 na STU úspešne </w:t>
      </w:r>
      <w:r w:rsidRPr="00F0732E">
        <w:rPr>
          <w:rFonts w:cs="Calibri"/>
          <w:b/>
          <w:sz w:val="28"/>
          <w:szCs w:val="28"/>
          <w:shd w:val="clear" w:color="auto" w:fill="FFFFFF"/>
        </w:rPr>
        <w:t>ukončilo štúdium 4 241 absolventov</w:t>
      </w:r>
      <w:r w:rsidRPr="00F0732E">
        <w:rPr>
          <w:rFonts w:cs="Calibri"/>
          <w:sz w:val="28"/>
          <w:szCs w:val="28"/>
          <w:shd w:val="clear" w:color="auto" w:fill="FFFFFF"/>
        </w:rPr>
        <w:t xml:space="preserve">, z toho na prvom stupni štúdia úspešne </w:t>
      </w:r>
      <w:r w:rsidR="00F6626B">
        <w:rPr>
          <w:rFonts w:cs="Calibri"/>
          <w:sz w:val="28"/>
          <w:szCs w:val="28"/>
          <w:shd w:val="clear" w:color="auto" w:fill="FFFFFF"/>
        </w:rPr>
        <w:t>u</w:t>
      </w:r>
      <w:r w:rsidRPr="00F0732E">
        <w:rPr>
          <w:rFonts w:cs="Calibri"/>
          <w:sz w:val="28"/>
          <w:szCs w:val="28"/>
          <w:shd w:val="clear" w:color="auto" w:fill="FFFFFF"/>
        </w:rPr>
        <w:t xml:space="preserve">končilo štúdium 1 939 absolventov, na druhom stupni štúdia 2 037 absolventov a na treťom stupni štúdia 265 absolventov, z toho 70 % absolventov tretieho stupňa štúdia </w:t>
      </w:r>
      <w:r w:rsidR="00F6626B">
        <w:rPr>
          <w:rFonts w:cs="Calibri"/>
          <w:sz w:val="28"/>
          <w:szCs w:val="28"/>
          <w:shd w:val="clear" w:color="auto" w:fill="FFFFFF"/>
        </w:rPr>
        <w:t>u</w:t>
      </w:r>
      <w:r w:rsidRPr="00F0732E">
        <w:rPr>
          <w:rFonts w:cs="Calibri"/>
          <w:sz w:val="28"/>
          <w:szCs w:val="28"/>
          <w:shd w:val="clear" w:color="auto" w:fill="FFFFFF"/>
        </w:rPr>
        <w:t xml:space="preserve">končilo štúdium v štandardnej dĺžke štúdia – sumarizácia za celú STU je </w:t>
      </w:r>
      <w:r w:rsidRPr="00651F9F">
        <w:rPr>
          <w:rFonts w:cs="Calibri"/>
          <w:sz w:val="28"/>
          <w:szCs w:val="28"/>
          <w:shd w:val="clear" w:color="auto" w:fill="FFFFFF"/>
        </w:rPr>
        <w:t xml:space="preserve">znázornená v Grafe </w:t>
      </w:r>
      <w:r w:rsidR="00651F9F" w:rsidRPr="00651F9F">
        <w:rPr>
          <w:rFonts w:cs="Calibri"/>
          <w:sz w:val="28"/>
          <w:szCs w:val="28"/>
          <w:shd w:val="clear" w:color="auto" w:fill="FFFFFF"/>
        </w:rPr>
        <w:t>3.</w:t>
      </w:r>
      <w:r w:rsidRPr="00651F9F">
        <w:rPr>
          <w:rFonts w:cs="Calibri"/>
          <w:sz w:val="28"/>
          <w:szCs w:val="28"/>
          <w:shd w:val="clear" w:color="auto" w:fill="FFFFFF"/>
        </w:rPr>
        <w:t>1</w:t>
      </w:r>
      <w:r w:rsidR="00651F9F" w:rsidRPr="00651F9F">
        <w:rPr>
          <w:rFonts w:cs="Calibri"/>
          <w:sz w:val="28"/>
          <w:szCs w:val="28"/>
          <w:shd w:val="clear" w:color="auto" w:fill="FFFFFF"/>
        </w:rPr>
        <w:t>4</w:t>
      </w:r>
      <w:r w:rsidRPr="00651F9F">
        <w:rPr>
          <w:rFonts w:cs="Calibri"/>
          <w:sz w:val="28"/>
          <w:szCs w:val="28"/>
          <w:shd w:val="clear" w:color="auto" w:fill="FFFFFF"/>
        </w:rPr>
        <w:t>.</w:t>
      </w:r>
      <w:r w:rsidRPr="00F0732E">
        <w:rPr>
          <w:rFonts w:cs="Calibri"/>
          <w:sz w:val="28"/>
          <w:szCs w:val="28"/>
          <w:shd w:val="clear" w:color="auto" w:fill="FFFFFF"/>
        </w:rPr>
        <w:t xml:space="preserve"> V Tabuľke </w:t>
      </w:r>
      <w:r w:rsidR="0067123B">
        <w:rPr>
          <w:rFonts w:cs="Calibri"/>
          <w:sz w:val="28"/>
          <w:szCs w:val="28"/>
          <w:shd w:val="clear" w:color="auto" w:fill="FFFFFF"/>
        </w:rPr>
        <w:t>3.</w:t>
      </w:r>
      <w:r w:rsidRPr="00F0732E">
        <w:rPr>
          <w:rFonts w:cs="Calibri"/>
          <w:sz w:val="28"/>
          <w:szCs w:val="28"/>
          <w:shd w:val="clear" w:color="auto" w:fill="FFFFFF"/>
        </w:rPr>
        <w:t>26 je prehľad celkového počtu absolventov v kalendárnom roku 2014 na jednotlivých súčastiach STU. Prehľad počtu absolventov na jednotkových stupňoch štúdia za posledných päť kalendárnych rokov uvádza Graf 3.15.</w:t>
      </w: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b/>
          <w:sz w:val="28"/>
          <w:szCs w:val="28"/>
          <w:shd w:val="clear" w:color="auto" w:fill="FFFFFF"/>
        </w:rPr>
      </w:pPr>
      <w:r w:rsidRPr="00F0732E">
        <w:rPr>
          <w:rFonts w:cs="Calibri"/>
          <w:b/>
          <w:sz w:val="28"/>
          <w:szCs w:val="28"/>
          <w:shd w:val="clear" w:color="auto" w:fill="FFFFFF"/>
        </w:rPr>
        <w:t xml:space="preserve">Graf 3.14: Počet študentov, ktorí riadne </w:t>
      </w:r>
      <w:r w:rsidR="00F6626B">
        <w:rPr>
          <w:rFonts w:cs="Calibri"/>
          <w:b/>
          <w:sz w:val="28"/>
          <w:szCs w:val="28"/>
          <w:shd w:val="clear" w:color="auto" w:fill="FFFFFF"/>
        </w:rPr>
        <w:t>u</w:t>
      </w:r>
      <w:r w:rsidRPr="00F0732E">
        <w:rPr>
          <w:rFonts w:cs="Calibri"/>
          <w:b/>
          <w:sz w:val="28"/>
          <w:szCs w:val="28"/>
          <w:shd w:val="clear" w:color="auto" w:fill="FFFFFF"/>
        </w:rPr>
        <w:t>končili štúdium v akad. roku 2013/2014</w:t>
      </w:r>
    </w:p>
    <w:p w:rsidR="00B51749" w:rsidRPr="00F0732E" w:rsidRDefault="000C5FEF" w:rsidP="002C3E19">
      <w:pPr>
        <w:jc w:val="center"/>
        <w:rPr>
          <w:rFonts w:cs="Calibri"/>
          <w:sz w:val="28"/>
          <w:szCs w:val="28"/>
          <w:shd w:val="clear" w:color="auto" w:fill="FFFFFF"/>
        </w:rPr>
      </w:pPr>
      <w:r w:rsidRPr="000C5FEF">
        <w:rPr>
          <w:noProof/>
          <w:sz w:val="28"/>
          <w:szCs w:val="28"/>
          <w:lang w:eastAsia="sk-SK"/>
        </w:rPr>
        <w:drawing>
          <wp:inline distT="0" distB="0" distL="0" distR="0">
            <wp:extent cx="5295014" cy="2647507"/>
            <wp:effectExtent l="0" t="0" r="0" b="0"/>
            <wp:docPr id="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1749" w:rsidRPr="00F0732E" w:rsidRDefault="00B51749" w:rsidP="00B51749">
      <w:pPr>
        <w:rPr>
          <w:rFonts w:cs="Calibri"/>
          <w:sz w:val="28"/>
          <w:szCs w:val="28"/>
          <w:shd w:val="clear" w:color="auto" w:fill="FFFFFF"/>
        </w:rPr>
      </w:pPr>
    </w:p>
    <w:p w:rsidR="00B51749" w:rsidRDefault="00B51749" w:rsidP="00B51749">
      <w:pPr>
        <w:rPr>
          <w:rFonts w:cs="Calibri"/>
          <w:sz w:val="28"/>
          <w:szCs w:val="28"/>
          <w:shd w:val="clear" w:color="auto" w:fill="FFFFFF"/>
        </w:rPr>
      </w:pPr>
    </w:p>
    <w:p w:rsidR="0000089C" w:rsidRPr="00F0732E" w:rsidRDefault="0000089C" w:rsidP="00B51749">
      <w:pPr>
        <w:rPr>
          <w:rFonts w:cs="Calibri"/>
          <w:sz w:val="28"/>
          <w:szCs w:val="28"/>
          <w:shd w:val="clear" w:color="auto" w:fill="FFFFFF"/>
        </w:rPr>
      </w:pPr>
    </w:p>
    <w:p w:rsidR="00B51749" w:rsidRPr="00F0732E" w:rsidRDefault="00B51749" w:rsidP="00B51749">
      <w:pPr>
        <w:rPr>
          <w:rFonts w:cs="Calibri"/>
          <w:b/>
          <w:sz w:val="28"/>
          <w:szCs w:val="28"/>
          <w:shd w:val="clear" w:color="auto" w:fill="FFFFFF"/>
        </w:rPr>
      </w:pPr>
    </w:p>
    <w:p w:rsidR="00B51749" w:rsidRPr="00F0732E" w:rsidRDefault="00B51749" w:rsidP="00B51749">
      <w:pPr>
        <w:rPr>
          <w:rFonts w:cs="Arial"/>
          <w:b/>
          <w:iCs/>
          <w:sz w:val="28"/>
          <w:szCs w:val="28"/>
          <w:lang w:eastAsia="sk-SK"/>
        </w:rPr>
      </w:pPr>
      <w:r w:rsidRPr="00F0732E">
        <w:rPr>
          <w:rFonts w:cs="Arial"/>
          <w:b/>
          <w:bCs/>
          <w:iCs/>
          <w:sz w:val="28"/>
          <w:szCs w:val="28"/>
          <w:lang w:eastAsia="sk-SK"/>
        </w:rPr>
        <w:t>Tabuľka 3.26:</w:t>
      </w:r>
      <w:r w:rsidRPr="00F0732E">
        <w:rPr>
          <w:rFonts w:cs="Arial"/>
          <w:b/>
          <w:iCs/>
          <w:sz w:val="28"/>
          <w:szCs w:val="28"/>
          <w:lang w:eastAsia="sk-SK"/>
        </w:rPr>
        <w:t xml:space="preserve"> Počet absolventov na STU v kalendárnom roku 2014</w:t>
      </w:r>
    </w:p>
    <w:tbl>
      <w:tblPr>
        <w:tblW w:w="9678" w:type="dxa"/>
        <w:tblInd w:w="-110" w:type="dxa"/>
        <w:tblCellMar>
          <w:left w:w="70" w:type="dxa"/>
          <w:right w:w="70" w:type="dxa"/>
        </w:tblCellMar>
        <w:tblLook w:val="04A0" w:firstRow="1" w:lastRow="0" w:firstColumn="1" w:lastColumn="0" w:noHBand="0" w:noVBand="1"/>
      </w:tblPr>
      <w:tblGrid>
        <w:gridCol w:w="743"/>
        <w:gridCol w:w="695"/>
        <w:gridCol w:w="903"/>
        <w:gridCol w:w="903"/>
        <w:gridCol w:w="904"/>
        <w:gridCol w:w="1008"/>
        <w:gridCol w:w="903"/>
        <w:gridCol w:w="911"/>
        <w:gridCol w:w="906"/>
        <w:gridCol w:w="897"/>
        <w:gridCol w:w="905"/>
      </w:tblGrid>
      <w:tr w:rsidR="00B51749" w:rsidRPr="00F0732E" w:rsidTr="00447572">
        <w:trPr>
          <w:trHeight w:val="255"/>
        </w:trPr>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ind w:firstLineChars="100" w:firstLine="280"/>
              <w:rPr>
                <w:rFonts w:eastAsia="Times New Roman" w:cs="Arial"/>
                <w:sz w:val="28"/>
                <w:szCs w:val="28"/>
                <w:lang w:eastAsia="sk-SK"/>
              </w:rPr>
            </w:pPr>
            <w:r w:rsidRPr="00F0732E">
              <w:rPr>
                <w:rFonts w:eastAsia="Times New Roman" w:cs="Arial"/>
                <w:sz w:val="28"/>
                <w:szCs w:val="28"/>
                <w:lang w:eastAsia="sk-SK"/>
              </w:rPr>
              <w:t> </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SvF</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SjF</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FEI</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FCHPT</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MTF</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FIIT</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ÚM</w:t>
            </w:r>
          </w:p>
        </w:tc>
        <w:tc>
          <w:tcPr>
            <w:tcW w:w="930" w:type="dxa"/>
            <w:tcBorders>
              <w:top w:val="single" w:sz="4" w:space="0" w:color="auto"/>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STU</w:t>
            </w:r>
          </w:p>
        </w:tc>
      </w:tr>
      <w:tr w:rsidR="00B51749" w:rsidRPr="00F0732E" w:rsidTr="00447572">
        <w:trPr>
          <w:trHeight w:val="255"/>
        </w:trPr>
        <w:tc>
          <w:tcPr>
            <w:tcW w:w="606" w:type="dxa"/>
            <w:vMerge w:val="restart"/>
            <w:tcBorders>
              <w:top w:val="nil"/>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Bc.</w:t>
            </w: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DF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459</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167</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253</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187</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450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26</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1 913</w:t>
            </w:r>
          </w:p>
        </w:tc>
      </w:tr>
      <w:tr w:rsidR="00B51749" w:rsidRPr="00F0732E" w:rsidTr="00447572">
        <w:trPr>
          <w:trHeight w:val="255"/>
        </w:trPr>
        <w:tc>
          <w:tcPr>
            <w:tcW w:w="606"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EF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22</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23</w:t>
            </w:r>
          </w:p>
        </w:tc>
      </w:tr>
      <w:tr w:rsidR="00B51749" w:rsidRPr="00F0732E" w:rsidTr="00447572">
        <w:trPr>
          <w:trHeight w:val="255"/>
        </w:trPr>
        <w:tc>
          <w:tcPr>
            <w:tcW w:w="606" w:type="dxa"/>
            <w:vMerge w:val="restart"/>
            <w:tcBorders>
              <w:top w:val="nil"/>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Ing.</w:t>
            </w: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DF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524</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238</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295</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192</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488</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126</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25</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2 029</w:t>
            </w:r>
          </w:p>
        </w:tc>
      </w:tr>
      <w:tr w:rsidR="00B51749" w:rsidRPr="00F0732E" w:rsidTr="00447572">
        <w:trPr>
          <w:trHeight w:val="255"/>
        </w:trPr>
        <w:tc>
          <w:tcPr>
            <w:tcW w:w="606"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EF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0</w:t>
            </w:r>
          </w:p>
        </w:tc>
      </w:tr>
      <w:tr w:rsidR="00B51749" w:rsidRPr="00F0732E" w:rsidTr="00447572">
        <w:trPr>
          <w:trHeight w:val="255"/>
        </w:trPr>
        <w:tc>
          <w:tcPr>
            <w:tcW w:w="606" w:type="dxa"/>
            <w:vMerge w:val="restart"/>
            <w:tcBorders>
              <w:top w:val="nil"/>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PhD.</w:t>
            </w: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DF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36</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15</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172</w:t>
            </w:r>
          </w:p>
        </w:tc>
      </w:tr>
      <w:tr w:rsidR="00B51749" w:rsidRPr="00F0732E" w:rsidTr="00447572">
        <w:trPr>
          <w:trHeight w:val="255"/>
        </w:trPr>
        <w:tc>
          <w:tcPr>
            <w:tcW w:w="606"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EF</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15</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73</w:t>
            </w:r>
          </w:p>
        </w:tc>
      </w:tr>
      <w:tr w:rsidR="00B51749" w:rsidRPr="00F0732E" w:rsidTr="00447572">
        <w:trPr>
          <w:trHeight w:val="255"/>
        </w:trPr>
        <w:tc>
          <w:tcPr>
            <w:tcW w:w="606"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708"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EVI</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13</w:t>
            </w:r>
          </w:p>
        </w:tc>
      </w:tr>
      <w:tr w:rsidR="00B51749" w:rsidRPr="00F0732E" w:rsidTr="00447572">
        <w:trPr>
          <w:trHeight w:val="255"/>
        </w:trPr>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SPOLU</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1 024</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457</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585</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437</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397</w:t>
            </w:r>
          </w:p>
        </w:tc>
        <w:tc>
          <w:tcPr>
            <w:tcW w:w="930"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977</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275</w:t>
            </w:r>
          </w:p>
        </w:tc>
        <w:tc>
          <w:tcPr>
            <w:tcW w:w="929"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71</w:t>
            </w:r>
          </w:p>
        </w:tc>
        <w:tc>
          <w:tcPr>
            <w:tcW w:w="930" w:type="dxa"/>
            <w:tcBorders>
              <w:top w:val="nil"/>
              <w:left w:val="nil"/>
              <w:bottom w:val="single" w:sz="4" w:space="0" w:color="auto"/>
              <w:right w:val="single" w:sz="4" w:space="0" w:color="auto"/>
            </w:tcBorders>
            <w:shd w:val="clear" w:color="auto" w:fill="BFBFBF"/>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4 223</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Vysvetlivky: DF – denná forma, EF – externá forma, EVI – externé vzdelávacie inštitúcie</w:t>
      </w:r>
    </w:p>
    <w:p w:rsidR="00B51749" w:rsidRPr="00F0732E" w:rsidRDefault="00B51749" w:rsidP="00B51749">
      <w:pPr>
        <w:rPr>
          <w:rFonts w:cs="Calibri"/>
          <w:b/>
          <w:sz w:val="28"/>
          <w:szCs w:val="28"/>
          <w:shd w:val="clear" w:color="auto" w:fill="FFFFFF"/>
        </w:rPr>
      </w:pPr>
      <w:r w:rsidRPr="00F0732E">
        <w:rPr>
          <w:rFonts w:cs="Calibri"/>
          <w:sz w:val="28"/>
          <w:szCs w:val="28"/>
          <w:shd w:val="clear" w:color="auto" w:fill="FFFFFF"/>
        </w:rPr>
        <w:t xml:space="preserve">  </w:t>
      </w:r>
    </w:p>
    <w:p w:rsidR="00B51749" w:rsidRPr="00F0732E" w:rsidRDefault="00B51749" w:rsidP="00B51749">
      <w:pPr>
        <w:rPr>
          <w:rFonts w:cs="Arial"/>
          <w:b/>
          <w:bCs/>
          <w:iCs/>
          <w:sz w:val="28"/>
          <w:szCs w:val="28"/>
          <w:lang w:eastAsia="sk-SK"/>
        </w:rPr>
      </w:pPr>
      <w:r w:rsidRPr="00F0732E">
        <w:rPr>
          <w:rFonts w:cs="Arial"/>
          <w:b/>
          <w:bCs/>
          <w:iCs/>
          <w:sz w:val="28"/>
          <w:szCs w:val="28"/>
          <w:lang w:eastAsia="sk-SK"/>
        </w:rPr>
        <w:t>Graf 3.15: Počet absolventov za posledných päť kalendárnych rokov</w:t>
      </w:r>
    </w:p>
    <w:p w:rsidR="00B51749" w:rsidRPr="00F0732E" w:rsidRDefault="00B51749" w:rsidP="00B51749">
      <w:pPr>
        <w:rPr>
          <w:rFonts w:cs="Calibri"/>
          <w:sz w:val="28"/>
          <w:szCs w:val="28"/>
          <w:shd w:val="clear" w:color="auto" w:fill="FFFFFF"/>
        </w:rPr>
      </w:pPr>
      <w:r>
        <w:rPr>
          <w:noProof/>
          <w:sz w:val="28"/>
          <w:szCs w:val="28"/>
          <w:lang w:eastAsia="sk-SK"/>
        </w:rPr>
        <w:drawing>
          <wp:inline distT="0" distB="0" distL="0" distR="0">
            <wp:extent cx="5029200" cy="2514600"/>
            <wp:effectExtent l="0" t="0" r="0" b="0"/>
            <wp:docPr id="32" name="Graf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1749" w:rsidRPr="00F0732E" w:rsidRDefault="00B51749" w:rsidP="00B51749">
      <w:pPr>
        <w:rPr>
          <w:rFonts w:cs="Calibri"/>
          <w:sz w:val="28"/>
          <w:szCs w:val="28"/>
          <w:shd w:val="clear" w:color="auto" w:fill="FFFFFF"/>
        </w:rPr>
      </w:pPr>
    </w:p>
    <w:p w:rsidR="00B51749" w:rsidRPr="00F0732E" w:rsidRDefault="00B51749" w:rsidP="00B51749">
      <w:pPr>
        <w:rPr>
          <w:color w:val="FF0000"/>
          <w:sz w:val="28"/>
          <w:szCs w:val="28"/>
          <w:shd w:val="clear" w:color="auto" w:fill="FFFFFF"/>
        </w:rPr>
      </w:pPr>
    </w:p>
    <w:p w:rsidR="00B51749" w:rsidRPr="00F0732E" w:rsidRDefault="00B51749" w:rsidP="00B51749">
      <w:pPr>
        <w:rPr>
          <w:iCs/>
          <w:color w:val="FF0000"/>
          <w:sz w:val="28"/>
          <w:szCs w:val="28"/>
          <w:lang w:eastAsia="sk-SK"/>
        </w:rPr>
      </w:pPr>
    </w:p>
    <w:p w:rsidR="00B51749" w:rsidRPr="00F0732E" w:rsidRDefault="00B51749" w:rsidP="00B51749">
      <w:pPr>
        <w:pStyle w:val="Nadpis2"/>
        <w:rPr>
          <w:rFonts w:ascii="Cambria" w:hAnsi="Cambria"/>
          <w:color w:val="auto"/>
        </w:rPr>
      </w:pPr>
      <w:bookmarkStart w:id="19" w:name="_Toc413009322"/>
      <w:r w:rsidRPr="00F0732E">
        <w:rPr>
          <w:rFonts w:ascii="Cambria" w:hAnsi="Cambria"/>
          <w:color w:val="auto"/>
        </w:rPr>
        <w:t>Prehľad úspechov študentov na národnej a medzinárodnej úrovni</w:t>
      </w:r>
      <w:bookmarkEnd w:id="19"/>
    </w:p>
    <w:p w:rsidR="00B51749" w:rsidRPr="00F0732E" w:rsidRDefault="00B51749" w:rsidP="00B51749">
      <w:pPr>
        <w:rPr>
          <w:color w:val="FF0000"/>
          <w:sz w:val="28"/>
          <w:szCs w:val="28"/>
        </w:rPr>
      </w:pPr>
    </w:p>
    <w:p w:rsidR="00B51749" w:rsidRPr="00F0732E" w:rsidRDefault="00B51749" w:rsidP="00B51749">
      <w:pPr>
        <w:rPr>
          <w:rFonts w:cs="Calibri"/>
          <w:b/>
          <w:sz w:val="28"/>
          <w:szCs w:val="28"/>
        </w:rPr>
      </w:pPr>
      <w:r w:rsidRPr="00F0732E">
        <w:rPr>
          <w:rFonts w:cs="Calibri"/>
          <w:sz w:val="28"/>
          <w:szCs w:val="28"/>
        </w:rPr>
        <w:t xml:space="preserve">STU umožňuje svojim študentom reprezentovať univerzitu na národnej a medzinárodnej úrovni, najmä na odborných súťažiach organizovaných inštitúciami, ktoré súvisia s profesijným profilom študijných programov univerzity. Účasť a úspešnosť študentov v súťažiach je jednou z najefektívnejších foriem propagácie kvality vzdelávania v odbornej a profesijnej komunite a úspešnosť na súťažiach dáva obraz aj o kvalite vzdelávania na univerzite. V Tabuľkách 3.27 a 3.28 je uvedený </w:t>
      </w:r>
      <w:r w:rsidRPr="00F0732E">
        <w:rPr>
          <w:rFonts w:cs="Calibri"/>
          <w:sz w:val="28"/>
          <w:szCs w:val="28"/>
        </w:rPr>
        <w:lastRenderedPageBreak/>
        <w:t xml:space="preserve">kvantitatívny prehľad najvýznamnejších ocenení, ktoré študenti STU dosiahli počas akad. roka 2013/2014 </w:t>
      </w:r>
      <w:r w:rsidRPr="00F0732E">
        <w:rPr>
          <w:rFonts w:cs="Calibri"/>
          <w:b/>
          <w:sz w:val="28"/>
          <w:szCs w:val="28"/>
        </w:rPr>
        <w:t>(spolu 166 na národnej úrovni a 26 na medzinárodnej úrovni).</w:t>
      </w:r>
    </w:p>
    <w:p w:rsidR="00B51749" w:rsidRPr="00F0732E" w:rsidRDefault="00B51749" w:rsidP="00B51749">
      <w:pPr>
        <w:rPr>
          <w:rFonts w:cs="Calibri"/>
          <w:sz w:val="28"/>
          <w:szCs w:val="28"/>
        </w:rPr>
      </w:pPr>
      <w:r w:rsidRPr="00F0732E">
        <w:rPr>
          <w:rFonts w:cs="Calibri"/>
          <w:sz w:val="28"/>
          <w:szCs w:val="28"/>
        </w:rPr>
        <w:t xml:space="preserve">Okrem toho sú v tabuľke uvedené aj úspechy študentov, ktoré vyplývajú z ich mimoštudijných aktivít (šport, kultúra apod.). Tieto ocenenia sú vnímané tiež ako dôležité, pretože okrem toho, že študenti reprezentujú univerzitu, </w:t>
      </w:r>
      <w:r w:rsidR="00F6626B">
        <w:rPr>
          <w:rFonts w:cs="Calibri"/>
          <w:sz w:val="28"/>
          <w:szCs w:val="28"/>
        </w:rPr>
        <w:t xml:space="preserve">ich </w:t>
      </w:r>
      <w:r w:rsidRPr="00F0732E">
        <w:rPr>
          <w:rFonts w:cs="Calibri"/>
          <w:sz w:val="28"/>
          <w:szCs w:val="28"/>
        </w:rPr>
        <w:t xml:space="preserve">mimoštudijné aktivity prispievajú k celkovému rozvoju osobnosti mladého človeka. </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3.27: Kvantitatívny prehľad ocenení a cien dosiahnutých mimo univerzity na národnej úrovni</w:t>
      </w:r>
    </w:p>
    <w:tbl>
      <w:tblPr>
        <w:tblW w:w="9513" w:type="dxa"/>
        <w:tblInd w:w="55" w:type="dxa"/>
        <w:tblLayout w:type="fixed"/>
        <w:tblCellMar>
          <w:left w:w="70" w:type="dxa"/>
          <w:right w:w="70" w:type="dxa"/>
        </w:tblCellMar>
        <w:tblLook w:val="04A0" w:firstRow="1" w:lastRow="0" w:firstColumn="1" w:lastColumn="0" w:noHBand="0" w:noVBand="1"/>
      </w:tblPr>
      <w:tblGrid>
        <w:gridCol w:w="5118"/>
        <w:gridCol w:w="627"/>
        <w:gridCol w:w="628"/>
        <w:gridCol w:w="628"/>
        <w:gridCol w:w="628"/>
        <w:gridCol w:w="628"/>
        <w:gridCol w:w="628"/>
        <w:gridCol w:w="628"/>
      </w:tblGrid>
      <w:tr w:rsidR="00B51749" w:rsidRPr="00F0732E" w:rsidTr="0044757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Ocenenia dosiahnuté doma</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SvF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SjF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FEI</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FCHPT</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MTF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FIIT</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Cena SAV</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Cena Spolku absolventov</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single" w:sz="4" w:space="0" w:color="auto"/>
              <w:left w:val="single" w:sz="4" w:space="0" w:color="auto"/>
              <w:bottom w:val="single" w:sz="4" w:space="0" w:color="auto"/>
              <w:right w:val="nil"/>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Isover – národné kolo</w:t>
            </w:r>
          </w:p>
        </w:tc>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ministra dopravy, pôšt a telekomunikácií</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predsedu Úradu kartografie a katastra SR</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Spolku (stavov. org.) – SKSI, SAS, SFVU</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Kravaty pre spisovateľov (most medzi dizajnom a literatúrou)</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komory geodetov a kartografov</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zamestnávateľov vo vodnom hospodárstve</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Slovenskej cestnej spoločnosti</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prof. Arpáda Tesára</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literárneho fondu</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Vedec roka SR – Technológ roka 2013</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ABF Slovakia</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Súťaž TOP 2013</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Dizajnová súťaž mesta Bratislava (Bc.)</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Malé Centrum, kníhkupectvo a vydavateľstvo</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Adivit, s.r.o., Nitra</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Asociácia čistiarenských expertov SR</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Slovenská spoločnosť chemického inžinierstva</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lastRenderedPageBreak/>
              <w:t>Thermosolar, s.r.o., Žiar nad Hronom</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Zväz chemického a farmaceutického priemyslu</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Rajo, a.s., Bratislava</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Nadácia pre rozvoj FCHPT STU v Bratislave</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Slovenská chemická spoločnosť</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Spoločnosť priemyselnej chémie</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SOVA Digital a Siemens (celoslov. súťaž o najlepšiu DP)</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Slovnaft, a.s.</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Heineken</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Národné centrum pre výskum a aplikácie obnoviteľných zdrojov energií</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Schneider Electric</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Evonik Fermas, s.r.o.</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Bukóza Holding, a.s.</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Slovenská spoločnosť pre povrchové úpravy </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odpadového hospodárstva - Zlatý mravec 2014</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EPS biodegradácie, s.r.o</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československej sekcie IEEE</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Cena  ACM Slovakia Chapter </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w:t>
            </w:r>
          </w:p>
        </w:tc>
      </w:tr>
    </w:tbl>
    <w:p w:rsidR="00B51749" w:rsidRPr="00F0732E" w:rsidRDefault="00B51749" w:rsidP="00B51749">
      <w:pPr>
        <w:rPr>
          <w:sz w:val="28"/>
          <w:szCs w:val="28"/>
        </w:rPr>
      </w:pPr>
    </w:p>
    <w:tbl>
      <w:tblPr>
        <w:tblW w:w="9513" w:type="dxa"/>
        <w:tblInd w:w="55" w:type="dxa"/>
        <w:tblLayout w:type="fixed"/>
        <w:tblCellMar>
          <w:left w:w="70" w:type="dxa"/>
          <w:right w:w="70" w:type="dxa"/>
        </w:tblCellMar>
        <w:tblLook w:val="04A0" w:firstRow="1" w:lastRow="0" w:firstColumn="1" w:lastColumn="0" w:noHBand="0" w:noVBand="1"/>
      </w:tblPr>
      <w:tblGrid>
        <w:gridCol w:w="5118"/>
        <w:gridCol w:w="627"/>
        <w:gridCol w:w="628"/>
        <w:gridCol w:w="628"/>
        <w:gridCol w:w="628"/>
        <w:gridCol w:w="628"/>
        <w:gridCol w:w="628"/>
        <w:gridCol w:w="628"/>
      </w:tblGrid>
      <w:tr w:rsidR="00B51749" w:rsidRPr="00F0732E" w:rsidTr="00447572">
        <w:trPr>
          <w:trHeight w:val="20"/>
        </w:trPr>
        <w:tc>
          <w:tcPr>
            <w:tcW w:w="5118" w:type="dxa"/>
            <w:tcBorders>
              <w:top w:val="single" w:sz="4" w:space="0" w:color="auto"/>
              <w:left w:val="single" w:sz="4" w:space="0" w:color="auto"/>
              <w:bottom w:val="single" w:sz="4" w:space="0" w:color="auto"/>
              <w:right w:val="single" w:sz="4" w:space="0" w:color="auto"/>
            </w:tcBorders>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Ocenenia dosiahnuté doma</w:t>
            </w:r>
          </w:p>
        </w:tc>
        <w:tc>
          <w:tcPr>
            <w:tcW w:w="627"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SvF</w:t>
            </w:r>
          </w:p>
        </w:tc>
        <w:tc>
          <w:tcPr>
            <w:tcW w:w="62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SjF</w:t>
            </w:r>
          </w:p>
        </w:tc>
        <w:tc>
          <w:tcPr>
            <w:tcW w:w="62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FEI</w:t>
            </w:r>
          </w:p>
        </w:tc>
        <w:tc>
          <w:tcPr>
            <w:tcW w:w="62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FCHPT</w:t>
            </w:r>
          </w:p>
        </w:tc>
        <w:tc>
          <w:tcPr>
            <w:tcW w:w="62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w:t>
            </w:r>
          </w:p>
        </w:tc>
        <w:tc>
          <w:tcPr>
            <w:tcW w:w="628"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MTF</w:t>
            </w:r>
          </w:p>
        </w:tc>
        <w:tc>
          <w:tcPr>
            <w:tcW w:w="62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FIIT</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NAG 2014</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ACM ICPC 2014</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Slovenská spol. pre kybernetiku a informatiku (SSKI)</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Slovenskej nukleárnej spoločnosti</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ÚNMS SR</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Študentská osobnosť Slovenska</w:t>
            </w:r>
          </w:p>
        </w:tc>
        <w:tc>
          <w:tcPr>
            <w:tcW w:w="627" w:type="dxa"/>
            <w:tcBorders>
              <w:top w:val="nil"/>
              <w:left w:val="nil"/>
              <w:bottom w:val="single" w:sz="4" w:space="0" w:color="auto"/>
              <w:right w:val="single" w:sz="4" w:space="0" w:color="auto"/>
            </w:tcBorders>
            <w:shd w:val="clear" w:color="auto" w:fill="auto"/>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EBEC CENTRAL 2014 – 1. miesto</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Študentská podnikateľská cena</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JAVYS</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ŠVK Zvolen – 2. miesto</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Cena primátora mesta </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2.miesto Majstrovstvá SR plávanie</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lastRenderedPageBreak/>
              <w:t>2. miesto Národné majstrovstvá SR 2014 v streľbe</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3. miesto na Majstrovstvách SR kulturistika</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1. miesto vo VŠ lige futbal muži </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1. miesto vo VŠ lige volejbal muži región Bratislava</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1. miesto vo VŠ lige volejbal ženy</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1. miesto Akademické majstrovstvá SR volejbal ženy</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nil"/>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1. miesto na Akademických majstrovstvách SR ľahká atletika (beh na 1 500 m)</w:t>
            </w:r>
          </w:p>
        </w:tc>
        <w:tc>
          <w:tcPr>
            <w:tcW w:w="627"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3. miesto Akad. majstrovstvá SR v karate</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3. miesto Akad. majstrovstvá SR v plávaní</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1. miesto vo VŠ lige basketbal muži – región Bratislava </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nil"/>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1. miesto vo florbale Majstrovstvá Bratislavy – muži</w:t>
            </w:r>
          </w:p>
        </w:tc>
        <w:tc>
          <w:tcPr>
            <w:tcW w:w="627"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BFBFBF"/>
            <w:hideMark/>
          </w:tcPr>
          <w:p w:rsidR="00B51749" w:rsidRPr="00F0732E" w:rsidRDefault="00B51749" w:rsidP="00447572">
            <w:pPr>
              <w:shd w:val="clear" w:color="auto" w:fill="BFBFBF"/>
              <w:jc w:val="right"/>
              <w:rPr>
                <w:rFonts w:eastAsia="Times New Roman" w:cs="Arial"/>
                <w:b/>
                <w:bCs/>
                <w:sz w:val="28"/>
                <w:szCs w:val="28"/>
                <w:lang w:eastAsia="sk-SK"/>
              </w:rPr>
            </w:pPr>
            <w:r w:rsidRPr="00F0732E">
              <w:rPr>
                <w:rFonts w:eastAsia="Times New Roman" w:cs="Arial"/>
                <w:b/>
                <w:bCs/>
                <w:sz w:val="28"/>
                <w:szCs w:val="28"/>
                <w:lang w:eastAsia="sk-SK"/>
              </w:rPr>
              <w:t>Spolu</w:t>
            </w:r>
          </w:p>
        </w:tc>
        <w:tc>
          <w:tcPr>
            <w:tcW w:w="627"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35</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10</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48</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22</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12</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7</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shd w:val="clear" w:color="auto" w:fill="BFBFBF"/>
              <w:jc w:val="center"/>
              <w:rPr>
                <w:rFonts w:eastAsia="Times New Roman" w:cs="Arial"/>
                <w:b/>
                <w:bCs/>
                <w:sz w:val="28"/>
                <w:szCs w:val="28"/>
                <w:lang w:eastAsia="sk-SK"/>
              </w:rPr>
            </w:pPr>
            <w:r w:rsidRPr="00F0732E">
              <w:rPr>
                <w:rFonts w:eastAsia="Times New Roman" w:cs="Arial"/>
                <w:b/>
                <w:bCs/>
                <w:sz w:val="28"/>
                <w:szCs w:val="28"/>
                <w:lang w:eastAsia="sk-SK"/>
              </w:rPr>
              <w:t>32</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3.28: Kvantitatívny prehľad ocenení a cien dosiahnutých mimo univerzity na medzinárodnej úrovni</w:t>
      </w:r>
    </w:p>
    <w:tbl>
      <w:tblPr>
        <w:tblW w:w="9513" w:type="dxa"/>
        <w:tblInd w:w="55" w:type="dxa"/>
        <w:tblLayout w:type="fixed"/>
        <w:tblCellMar>
          <w:left w:w="70" w:type="dxa"/>
          <w:right w:w="70" w:type="dxa"/>
        </w:tblCellMar>
        <w:tblLook w:val="04A0" w:firstRow="1" w:lastRow="0" w:firstColumn="1" w:lastColumn="0" w:noHBand="0" w:noVBand="1"/>
      </w:tblPr>
      <w:tblGrid>
        <w:gridCol w:w="5118"/>
        <w:gridCol w:w="627"/>
        <w:gridCol w:w="628"/>
        <w:gridCol w:w="628"/>
        <w:gridCol w:w="628"/>
        <w:gridCol w:w="628"/>
        <w:gridCol w:w="628"/>
        <w:gridCol w:w="628"/>
      </w:tblGrid>
      <w:tr w:rsidR="00B51749" w:rsidRPr="00F0732E" w:rsidTr="00447572">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Ocenenia dosiahnuté v zahraničí</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SvF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SjF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FEI</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FCHPT</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MTF</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FIIT</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Strechy 2013 – Memoriál Antonína Fajkoša (Ostrava)(2 Bc. a 1 Ing.)</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Building Information Modeling (BIM) v Sydney</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r>
      <w:tr w:rsidR="00B51749" w:rsidRPr="00F0732E" w:rsidTr="0044757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Xella </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Imagine Cup 2014</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Robotchallenge vo Viedni </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SVOČ 2013 Zlín – 2. miesto</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FREESCALE CUP 2014 Erlangen – európske kolo 1. miesto</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Cena MOV (návrh medaily na mládežnícku olympiádu)</w:t>
            </w:r>
          </w:p>
        </w:tc>
        <w:tc>
          <w:tcPr>
            <w:tcW w:w="627"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1. miesto Robotic Tournament </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sz w:val="28"/>
                <w:szCs w:val="28"/>
                <w:lang w:eastAsia="sk-SK"/>
              </w:rPr>
            </w:pPr>
            <w:r w:rsidRPr="00F0732E">
              <w:rPr>
                <w:rFonts w:eastAsia="Times New Roman" w:cs="Arial"/>
                <w:sz w:val="28"/>
                <w:szCs w:val="28"/>
                <w:lang w:eastAsia="sk-SK"/>
              </w:rPr>
              <w:t xml:space="preserve">1. miesto Zimná svetová Univerziáda </w:t>
            </w:r>
            <w:r w:rsidRPr="00F0732E">
              <w:rPr>
                <w:rFonts w:eastAsia="Times New Roman" w:cs="Arial"/>
                <w:sz w:val="28"/>
                <w:szCs w:val="28"/>
                <w:lang w:eastAsia="sk-SK"/>
              </w:rPr>
              <w:lastRenderedPageBreak/>
              <w:t>2013 v biatlone</w:t>
            </w:r>
          </w:p>
        </w:tc>
        <w:tc>
          <w:tcPr>
            <w:tcW w:w="62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lastRenderedPageBreak/>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w:t>
            </w:r>
          </w:p>
        </w:tc>
        <w:tc>
          <w:tcPr>
            <w:tcW w:w="62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0"/>
        </w:trPr>
        <w:tc>
          <w:tcPr>
            <w:tcW w:w="5118" w:type="dxa"/>
            <w:tcBorders>
              <w:top w:val="nil"/>
              <w:left w:val="single" w:sz="4" w:space="0" w:color="auto"/>
              <w:bottom w:val="single" w:sz="4" w:space="0" w:color="auto"/>
              <w:right w:val="single" w:sz="4" w:space="0" w:color="auto"/>
            </w:tcBorders>
            <w:shd w:val="clear" w:color="auto" w:fill="BFBFBF"/>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lastRenderedPageBreak/>
              <w:t>Spolu</w:t>
            </w:r>
          </w:p>
        </w:tc>
        <w:tc>
          <w:tcPr>
            <w:tcW w:w="627"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7</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0</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w:t>
            </w:r>
          </w:p>
        </w:tc>
        <w:tc>
          <w:tcPr>
            <w:tcW w:w="628"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0</w:t>
            </w:r>
          </w:p>
        </w:tc>
        <w:tc>
          <w:tcPr>
            <w:tcW w:w="628"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w:t>
            </w:r>
          </w:p>
        </w:tc>
        <w:tc>
          <w:tcPr>
            <w:tcW w:w="628"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w:t>
            </w:r>
          </w:p>
        </w:tc>
        <w:tc>
          <w:tcPr>
            <w:tcW w:w="628"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8</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Špecifickou možnosťou reprezentácie univerzity sú národné, alebo medzinárodné študentské konferencie, ktoré sú zamerané hlavne na prezentáciu študentskej vedeckej, odbornej a umeleckej činnosti. Úspechy študentov STU v tejto oblasti sú uvedené v nasledujúcom prehľade.</w:t>
      </w:r>
    </w:p>
    <w:p w:rsidR="00B51749" w:rsidRPr="00F0732E" w:rsidRDefault="00B51749" w:rsidP="00B51749">
      <w:pPr>
        <w:rPr>
          <w:rFonts w:cs="Calibri"/>
          <w:sz w:val="28"/>
          <w:szCs w:val="28"/>
        </w:rPr>
      </w:pPr>
    </w:p>
    <w:p w:rsidR="00B51749" w:rsidRPr="00F0732E" w:rsidRDefault="00B51749" w:rsidP="00B51749">
      <w:pPr>
        <w:tabs>
          <w:tab w:val="right" w:pos="-284"/>
        </w:tabs>
        <w:rPr>
          <w:rFonts w:cs="Calibri"/>
          <w:sz w:val="28"/>
          <w:szCs w:val="28"/>
        </w:rPr>
      </w:pPr>
      <w:r w:rsidRPr="00F0732E">
        <w:rPr>
          <w:rFonts w:cs="Calibri"/>
          <w:b/>
          <w:sz w:val="28"/>
          <w:szCs w:val="28"/>
        </w:rPr>
        <w:t xml:space="preserve">XV. ročník súťaže </w:t>
      </w:r>
      <w:r w:rsidR="00F6626B">
        <w:rPr>
          <w:rFonts w:cs="Calibri"/>
          <w:b/>
          <w:sz w:val="28"/>
          <w:szCs w:val="28"/>
        </w:rPr>
        <w:t>Š</w:t>
      </w:r>
      <w:r w:rsidRPr="00F0732E">
        <w:rPr>
          <w:rFonts w:cs="Calibri"/>
          <w:b/>
          <w:sz w:val="28"/>
          <w:szCs w:val="28"/>
        </w:rPr>
        <w:t>VOČ stavebných fakúlt Českej republiky a Slovenskej republiky</w:t>
      </w:r>
      <w:r w:rsidRPr="00F0732E">
        <w:rPr>
          <w:rFonts w:cs="Calibri"/>
          <w:sz w:val="28"/>
          <w:szCs w:val="28"/>
        </w:rPr>
        <w:t>,</w:t>
      </w:r>
      <w:r w:rsidRPr="00F0732E">
        <w:rPr>
          <w:rFonts w:cs="Calibri"/>
          <w:bCs/>
          <w:sz w:val="28"/>
          <w:szCs w:val="28"/>
        </w:rPr>
        <w:t xml:space="preserve"> ktorá sa uskutočnila 15. mája 2014 na TU v Brne za účasti </w:t>
      </w:r>
      <w:r w:rsidRPr="00F0732E">
        <w:rPr>
          <w:rFonts w:cs="Calibri"/>
          <w:sz w:val="28"/>
          <w:szCs w:val="28"/>
        </w:rPr>
        <w:t>študentov stavebných fakúlt ČVUT Praha, VUT Brno, VŠB TU Ostrava, ŽU Žilina, TU Košice a STU Bratislava.</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rPr>
          <w:rFonts w:cs="Calibri"/>
          <w:sz w:val="28"/>
          <w:szCs w:val="28"/>
        </w:rPr>
      </w:pPr>
    </w:p>
    <w:p w:rsidR="00B51749" w:rsidRPr="00F0732E" w:rsidRDefault="00B51749" w:rsidP="00B51749">
      <w:pPr>
        <w:tabs>
          <w:tab w:val="right" w:pos="-284"/>
        </w:tabs>
        <w:rPr>
          <w:rFonts w:cs="Calibri"/>
          <w:b/>
          <w:sz w:val="28"/>
          <w:szCs w:val="28"/>
        </w:rPr>
      </w:pPr>
      <w:r w:rsidRPr="00F0732E">
        <w:rPr>
          <w:rFonts w:cs="Calibri"/>
          <w:b/>
          <w:sz w:val="28"/>
          <w:szCs w:val="28"/>
        </w:rPr>
        <w:t>Tabuľka 3.29: Výsledky XV. ročníka súťaže ŠVOČ stavebných fakúlt Českej a Slovenskej republiky</w:t>
      </w:r>
    </w:p>
    <w:tbl>
      <w:tblPr>
        <w:tblW w:w="8237" w:type="dxa"/>
        <w:tblInd w:w="55" w:type="dxa"/>
        <w:tblLayout w:type="fixed"/>
        <w:tblCellMar>
          <w:left w:w="70" w:type="dxa"/>
          <w:right w:w="70" w:type="dxa"/>
        </w:tblCellMar>
        <w:tblLook w:val="04A0" w:firstRow="1" w:lastRow="0" w:firstColumn="1" w:lastColumn="0" w:noHBand="0" w:noVBand="1"/>
      </w:tblPr>
      <w:tblGrid>
        <w:gridCol w:w="2283"/>
        <w:gridCol w:w="851"/>
        <w:gridCol w:w="850"/>
        <w:gridCol w:w="1134"/>
        <w:gridCol w:w="851"/>
        <w:gridCol w:w="992"/>
        <w:gridCol w:w="1276"/>
      </w:tblGrid>
      <w:tr w:rsidR="00B51749" w:rsidRPr="00F0732E" w:rsidTr="00447572">
        <w:trPr>
          <w:trHeight w:val="586"/>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lang w:eastAsia="sk-SK"/>
              </w:rPr>
            </w:pPr>
            <w:r w:rsidRPr="00F0732E">
              <w:rPr>
                <w:rFonts w:eastAsia="Times New Roman" w:cs="Arial"/>
                <w:lang w:eastAsia="sk-SK"/>
              </w:rPr>
              <w:t>Umiestnenie (počet prác)</w:t>
            </w:r>
          </w:p>
        </w:tc>
        <w:tc>
          <w:tcPr>
            <w:tcW w:w="851" w:type="dxa"/>
            <w:tcBorders>
              <w:top w:val="single" w:sz="4" w:space="0" w:color="auto"/>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ČVUT Praha</w:t>
            </w:r>
          </w:p>
        </w:tc>
        <w:tc>
          <w:tcPr>
            <w:tcW w:w="850" w:type="dxa"/>
            <w:tcBorders>
              <w:top w:val="single" w:sz="4" w:space="0" w:color="auto"/>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VUT Brno</w:t>
            </w:r>
          </w:p>
        </w:tc>
        <w:tc>
          <w:tcPr>
            <w:tcW w:w="1134" w:type="dxa"/>
            <w:tcBorders>
              <w:top w:val="single" w:sz="4" w:space="0" w:color="auto"/>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VŠB TU Ostrava</w:t>
            </w:r>
          </w:p>
        </w:tc>
        <w:tc>
          <w:tcPr>
            <w:tcW w:w="851" w:type="dxa"/>
            <w:tcBorders>
              <w:top w:val="single" w:sz="4" w:space="0" w:color="auto"/>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ŽU Žilina</w:t>
            </w:r>
          </w:p>
        </w:tc>
        <w:tc>
          <w:tcPr>
            <w:tcW w:w="992" w:type="dxa"/>
            <w:tcBorders>
              <w:top w:val="single" w:sz="4" w:space="0" w:color="auto"/>
              <w:left w:val="nil"/>
              <w:bottom w:val="single" w:sz="4" w:space="0" w:color="auto"/>
              <w:right w:val="single" w:sz="4" w:space="0" w:color="auto"/>
            </w:tcBorders>
            <w:shd w:val="clear" w:color="auto" w:fill="auto"/>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TU Košice</w:t>
            </w:r>
          </w:p>
        </w:tc>
        <w:tc>
          <w:tcPr>
            <w:tcW w:w="1276" w:type="dxa"/>
            <w:tcBorders>
              <w:top w:val="single" w:sz="4" w:space="0" w:color="auto"/>
              <w:left w:val="nil"/>
              <w:bottom w:val="single" w:sz="4" w:space="0" w:color="auto"/>
              <w:right w:val="single" w:sz="4" w:space="0" w:color="auto"/>
            </w:tcBorders>
            <w:shd w:val="clear" w:color="auto" w:fill="BFBFBF"/>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STU Bratislava</w:t>
            </w:r>
          </w:p>
        </w:tc>
      </w:tr>
      <w:tr w:rsidR="00B51749" w:rsidRPr="00F0732E" w:rsidTr="00447572">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lang w:eastAsia="sk-SK"/>
              </w:rPr>
            </w:pPr>
            <w:r w:rsidRPr="00F0732E">
              <w:rPr>
                <w:rFonts w:eastAsia="Times New Roman" w:cs="Arial"/>
                <w:lang w:eastAsia="sk-SK"/>
              </w:rPr>
              <w:t>1. miesto</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850"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99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276"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r>
      <w:tr w:rsidR="00B51749" w:rsidRPr="00F0732E" w:rsidTr="00447572">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lang w:eastAsia="sk-SK"/>
              </w:rPr>
            </w:pPr>
            <w:r w:rsidRPr="00F0732E">
              <w:rPr>
                <w:rFonts w:eastAsia="Times New Roman" w:cs="Arial"/>
                <w:lang w:eastAsia="sk-SK"/>
              </w:rPr>
              <w:t>2. miesto</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7</w:t>
            </w:r>
          </w:p>
        </w:tc>
        <w:tc>
          <w:tcPr>
            <w:tcW w:w="850"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13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99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1276"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B51749" w:rsidRPr="00F0732E" w:rsidRDefault="00B51749" w:rsidP="00447572">
            <w:pPr>
              <w:rPr>
                <w:rFonts w:eastAsia="Times New Roman" w:cs="Arial"/>
                <w:lang w:eastAsia="sk-SK"/>
              </w:rPr>
            </w:pPr>
            <w:r w:rsidRPr="00F0732E">
              <w:rPr>
                <w:rFonts w:eastAsia="Times New Roman" w:cs="Arial"/>
                <w:lang w:eastAsia="sk-SK"/>
              </w:rPr>
              <w:t>3. miesto</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850"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851"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99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1276"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r>
    </w:tbl>
    <w:p w:rsidR="00B51749" w:rsidRPr="00F0732E" w:rsidRDefault="00B51749" w:rsidP="00B51749">
      <w:pPr>
        <w:tabs>
          <w:tab w:val="center" w:pos="6660"/>
        </w:tabs>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V rámci súťaže </w:t>
      </w:r>
      <w:r w:rsidRPr="00F0732E">
        <w:rPr>
          <w:rFonts w:cs="Calibri"/>
          <w:b/>
          <w:sz w:val="28"/>
          <w:szCs w:val="28"/>
        </w:rPr>
        <w:t>Národná cena SR za kvalitu 2013</w:t>
      </w:r>
      <w:r w:rsidRPr="00F0732E">
        <w:rPr>
          <w:rFonts w:cs="Calibri"/>
          <w:sz w:val="28"/>
          <w:szCs w:val="28"/>
        </w:rPr>
        <w:t xml:space="preserve"> v kategórii  najlepšia diplomová práca bola ocenená študentka MTF STU.</w:t>
      </w:r>
    </w:p>
    <w:p w:rsidR="00B51749" w:rsidRPr="00F0732E" w:rsidRDefault="00B51749" w:rsidP="00B51749">
      <w:pPr>
        <w:rPr>
          <w:rFonts w:cs="Calibri"/>
          <w:b/>
          <w:sz w:val="28"/>
          <w:szCs w:val="28"/>
        </w:rPr>
      </w:pPr>
    </w:p>
    <w:p w:rsidR="00B51749" w:rsidRPr="00F0732E" w:rsidRDefault="00B51749" w:rsidP="00B51749">
      <w:pPr>
        <w:pStyle w:val="Odsekzoznamu"/>
        <w:spacing w:line="240" w:lineRule="auto"/>
        <w:ind w:left="0"/>
        <w:rPr>
          <w:rFonts w:ascii="Cambria" w:hAnsi="Cambria"/>
          <w:color w:val="FF0000"/>
          <w:sz w:val="28"/>
          <w:szCs w:val="28"/>
        </w:rPr>
      </w:pPr>
    </w:p>
    <w:p w:rsidR="00B51749" w:rsidRPr="00F0732E" w:rsidRDefault="00B51749" w:rsidP="00B51749">
      <w:pPr>
        <w:pStyle w:val="Nadpis2"/>
        <w:rPr>
          <w:rFonts w:ascii="Cambria" w:hAnsi="Cambria"/>
          <w:color w:val="auto"/>
        </w:rPr>
      </w:pPr>
      <w:bookmarkStart w:id="20" w:name="_Toc413009323"/>
      <w:r w:rsidRPr="00F0732E">
        <w:rPr>
          <w:rFonts w:ascii="Cambria" w:hAnsi="Cambria"/>
          <w:color w:val="auto"/>
        </w:rPr>
        <w:t>Prehľad ocenení študentov v rámci STU</w:t>
      </w:r>
      <w:bookmarkEnd w:id="20"/>
    </w:p>
    <w:p w:rsidR="00B51749" w:rsidRPr="00F0732E" w:rsidRDefault="00B51749" w:rsidP="00B51749">
      <w:pPr>
        <w:rPr>
          <w:color w:val="FF0000"/>
          <w:sz w:val="28"/>
          <w:szCs w:val="28"/>
          <w:shd w:val="clear" w:color="auto" w:fill="FFFFFF"/>
        </w:rPr>
      </w:pPr>
    </w:p>
    <w:p w:rsidR="00B51749" w:rsidRPr="00F0732E" w:rsidRDefault="00B51749" w:rsidP="00B51749">
      <w:pPr>
        <w:rPr>
          <w:rFonts w:cs="Calibri"/>
          <w:sz w:val="28"/>
          <w:szCs w:val="28"/>
        </w:rPr>
      </w:pPr>
      <w:r w:rsidRPr="00F0732E">
        <w:rPr>
          <w:rFonts w:cs="Calibri"/>
          <w:sz w:val="28"/>
          <w:szCs w:val="28"/>
          <w:shd w:val="clear" w:color="auto" w:fill="FFFFFF"/>
        </w:rPr>
        <w:t xml:space="preserve">Ocenenia študentov v rámci univerzity sú prepojené na štipendijný poriadok STU, ktorý stanovuje základné podmienky na získanie štipendia, a tým aj podmienky na získanie príslušného ocenenia. </w:t>
      </w:r>
      <w:r w:rsidRPr="00F0732E">
        <w:rPr>
          <w:rFonts w:cs="Calibri"/>
          <w:b/>
          <w:sz w:val="28"/>
          <w:szCs w:val="28"/>
          <w:shd w:val="clear" w:color="auto" w:fill="FFFFFF"/>
        </w:rPr>
        <w:t>Počet študentov, ktorí získali niektoré z ocenení v rámci STU, bol v hodnotenom roku 967.</w:t>
      </w:r>
    </w:p>
    <w:p w:rsidR="00B51749" w:rsidRPr="00F0732E" w:rsidRDefault="00B51749" w:rsidP="00B51749">
      <w:pPr>
        <w:rPr>
          <w:rFonts w:cs="Calibri"/>
          <w:sz w:val="28"/>
          <w:szCs w:val="28"/>
          <w:shd w:val="clear" w:color="auto" w:fill="FFFFFF"/>
        </w:rPr>
      </w:pPr>
      <w:r w:rsidRPr="00F0732E">
        <w:rPr>
          <w:rFonts w:cs="Calibri"/>
          <w:sz w:val="28"/>
          <w:szCs w:val="28"/>
          <w:shd w:val="clear" w:color="auto" w:fill="FFFFFF"/>
        </w:rPr>
        <w:t>Prehľad udelenýc</w:t>
      </w:r>
      <w:r w:rsidR="0067123B">
        <w:rPr>
          <w:rFonts w:cs="Calibri"/>
          <w:sz w:val="28"/>
          <w:szCs w:val="28"/>
          <w:shd w:val="clear" w:color="auto" w:fill="FFFFFF"/>
        </w:rPr>
        <w:t xml:space="preserve">h ocenení je uvedený v Tabuľke </w:t>
      </w:r>
      <w:r w:rsidRPr="00F0732E">
        <w:rPr>
          <w:rFonts w:cs="Calibri"/>
          <w:sz w:val="28"/>
          <w:szCs w:val="28"/>
          <w:shd w:val="clear" w:color="auto" w:fill="FFFFFF"/>
        </w:rPr>
        <w:t>3.30.</w:t>
      </w:r>
    </w:p>
    <w:p w:rsidR="00B51749" w:rsidRPr="00F0732E" w:rsidRDefault="00B51749" w:rsidP="00B51749">
      <w:pPr>
        <w:rPr>
          <w:rFonts w:cs="Calibri"/>
          <w:sz w:val="28"/>
          <w:szCs w:val="28"/>
          <w:shd w:val="clear" w:color="auto" w:fill="FFFFFF"/>
        </w:rPr>
      </w:pPr>
    </w:p>
    <w:p w:rsidR="00B51749" w:rsidRPr="00F0732E" w:rsidRDefault="00B51749" w:rsidP="00B51749">
      <w:pPr>
        <w:rPr>
          <w:rFonts w:cs="Calibri"/>
          <w:b/>
          <w:shd w:val="clear" w:color="auto" w:fill="FFFFFF"/>
        </w:rPr>
      </w:pPr>
      <w:r w:rsidRPr="00F0732E">
        <w:rPr>
          <w:rFonts w:cs="Calibri"/>
          <w:b/>
          <w:sz w:val="28"/>
          <w:szCs w:val="28"/>
          <w:shd w:val="clear" w:color="auto" w:fill="FFFFFF"/>
        </w:rPr>
        <w:t xml:space="preserve">Tabuľka 3.30: Ocenenia študentov v rámci vysokej </w:t>
      </w:r>
      <w:r w:rsidRPr="00F0732E">
        <w:rPr>
          <w:rFonts w:cs="Calibri"/>
          <w:b/>
          <w:shd w:val="clear" w:color="auto" w:fill="FFFFFF"/>
        </w:rPr>
        <w:t>školy</w:t>
      </w:r>
    </w:p>
    <w:tbl>
      <w:tblPr>
        <w:tblW w:w="9151" w:type="dxa"/>
        <w:tblInd w:w="55" w:type="dxa"/>
        <w:tblCellMar>
          <w:left w:w="70" w:type="dxa"/>
          <w:right w:w="70" w:type="dxa"/>
        </w:tblCellMar>
        <w:tblLook w:val="04A0" w:firstRow="1" w:lastRow="0" w:firstColumn="1" w:lastColumn="0" w:noHBand="0" w:noVBand="1"/>
      </w:tblPr>
      <w:tblGrid>
        <w:gridCol w:w="1356"/>
        <w:gridCol w:w="2612"/>
        <w:gridCol w:w="564"/>
        <w:gridCol w:w="563"/>
        <w:gridCol w:w="567"/>
        <w:gridCol w:w="1016"/>
        <w:gridCol w:w="514"/>
        <w:gridCol w:w="653"/>
        <w:gridCol w:w="653"/>
        <w:gridCol w:w="653"/>
      </w:tblGrid>
      <w:tr w:rsidR="00B51749" w:rsidRPr="00F0732E" w:rsidTr="00447572">
        <w:trPr>
          <w:trHeight w:val="255"/>
        </w:trPr>
        <w:tc>
          <w:tcPr>
            <w:tcW w:w="1358" w:type="dxa"/>
            <w:tcBorders>
              <w:top w:val="single" w:sz="4" w:space="0" w:color="auto"/>
              <w:left w:val="single" w:sz="4" w:space="0" w:color="auto"/>
              <w:bottom w:val="single" w:sz="4" w:space="0" w:color="auto"/>
              <w:right w:val="nil"/>
            </w:tcBorders>
            <w:shd w:val="clear" w:color="auto" w:fill="auto"/>
            <w:noWrap/>
            <w:vAlign w:val="center"/>
            <w:hideMark/>
          </w:tcPr>
          <w:p w:rsidR="00B51749" w:rsidRPr="00F0732E" w:rsidRDefault="00B51749" w:rsidP="00447572">
            <w:pPr>
              <w:rPr>
                <w:rFonts w:eastAsia="Times New Roman" w:cs="Arial"/>
                <w:b/>
                <w:bCs/>
                <w:lang w:eastAsia="sk-SK"/>
              </w:rPr>
            </w:pPr>
            <w:r w:rsidRPr="00F0732E">
              <w:rPr>
                <w:rFonts w:eastAsia="Times New Roman" w:cs="Arial"/>
                <w:b/>
                <w:bCs/>
                <w:lang w:eastAsia="sk-SK"/>
              </w:rPr>
              <w:t>Ocenenia</w:t>
            </w:r>
          </w:p>
        </w:tc>
        <w:tc>
          <w:tcPr>
            <w:tcW w:w="2614"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lang w:eastAsia="sk-SK"/>
              </w:rPr>
            </w:pPr>
            <w:r w:rsidRPr="00F0732E">
              <w:rPr>
                <w:rFonts w:eastAsia="Times New Roman" w:cs="Arial"/>
                <w:b/>
                <w:bCs/>
                <w:lang w:eastAsia="sk-SK"/>
              </w:rPr>
              <w:t> </w:t>
            </w:r>
          </w:p>
        </w:tc>
        <w:tc>
          <w:tcPr>
            <w:tcW w:w="564"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SvF</w:t>
            </w:r>
          </w:p>
        </w:tc>
        <w:tc>
          <w:tcPr>
            <w:tcW w:w="563"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SjF</w:t>
            </w:r>
          </w:p>
        </w:tc>
        <w:tc>
          <w:tcPr>
            <w:tcW w:w="563"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FEI</w:t>
            </w:r>
          </w:p>
        </w:tc>
        <w:tc>
          <w:tcPr>
            <w:tcW w:w="1016"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FCHPT</w:t>
            </w:r>
          </w:p>
        </w:tc>
        <w:tc>
          <w:tcPr>
            <w:tcW w:w="514"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FA</w:t>
            </w:r>
          </w:p>
        </w:tc>
        <w:tc>
          <w:tcPr>
            <w:tcW w:w="653"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MTF</w:t>
            </w:r>
          </w:p>
        </w:tc>
        <w:tc>
          <w:tcPr>
            <w:tcW w:w="653"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FIIT</w:t>
            </w:r>
          </w:p>
        </w:tc>
        <w:tc>
          <w:tcPr>
            <w:tcW w:w="653" w:type="dxa"/>
            <w:tcBorders>
              <w:top w:val="single" w:sz="4" w:space="0" w:color="auto"/>
              <w:left w:val="nil"/>
              <w:bottom w:val="nil"/>
              <w:right w:val="single" w:sz="4" w:space="0" w:color="auto"/>
            </w:tcBorders>
            <w:shd w:val="clear" w:color="auto" w:fill="auto"/>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ÚM</w:t>
            </w:r>
          </w:p>
        </w:tc>
      </w:tr>
      <w:tr w:rsidR="00B51749" w:rsidRPr="00F0732E" w:rsidTr="00447572">
        <w:trPr>
          <w:trHeight w:val="24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 xml:space="preserve">Cena rektora za štúdium </w:t>
            </w:r>
          </w:p>
        </w:tc>
        <w:tc>
          <w:tcPr>
            <w:tcW w:w="26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I.    stupeň</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4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II.   stupeň</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9</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6</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8</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40"/>
        </w:trPr>
        <w:tc>
          <w:tcPr>
            <w:tcW w:w="1358"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lastRenderedPageBreak/>
              <w:t> </w:t>
            </w:r>
          </w:p>
        </w:tc>
        <w:tc>
          <w:tcPr>
            <w:tcW w:w="26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III.  stupeň</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85"/>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Študent roka</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najlepší študent I. stupňa štúdia</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r>
      <w:tr w:rsidR="00B51749" w:rsidRPr="00F0732E" w:rsidTr="00447572">
        <w:trPr>
          <w:trHeight w:val="51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najlepší študent II. stupňa štúdia</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r>
      <w:tr w:rsidR="00B51749" w:rsidRPr="00F0732E" w:rsidTr="00447572">
        <w:trPr>
          <w:trHeight w:val="51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najlepší študent III. stupňa štúdia</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r>
      <w:tr w:rsidR="00B51749" w:rsidRPr="00F0732E" w:rsidTr="00447572">
        <w:trPr>
          <w:trHeight w:val="525"/>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hideMark/>
          </w:tcPr>
          <w:p w:rsidR="00B51749" w:rsidRPr="00F0732E" w:rsidRDefault="00B51749" w:rsidP="00F6626B">
            <w:pPr>
              <w:jc w:val="left"/>
              <w:rPr>
                <w:rFonts w:eastAsia="Times New Roman" w:cs="Arial"/>
                <w:lang w:eastAsia="sk-SK"/>
              </w:rPr>
            </w:pPr>
            <w:r w:rsidRPr="00F0732E">
              <w:rPr>
                <w:rFonts w:eastAsia="Times New Roman" w:cs="Arial"/>
                <w:lang w:eastAsia="sk-SK"/>
              </w:rPr>
              <w:t>najlepšie absolvovaná akademická mobilita na STU</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48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mimoriadny výsledok v oblasti výskumu alebo vývoja</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48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významný reprezentant STU v športe</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10</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48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F6626B">
            <w:pPr>
              <w:jc w:val="left"/>
              <w:rPr>
                <w:rFonts w:eastAsia="Times New Roman" w:cs="Arial"/>
                <w:lang w:eastAsia="sk-SK"/>
              </w:rPr>
            </w:pPr>
            <w:r w:rsidRPr="00F0732E">
              <w:rPr>
                <w:rFonts w:eastAsia="Times New Roman" w:cs="Arial"/>
                <w:lang w:eastAsia="sk-SK"/>
              </w:rPr>
              <w:t>významný reprezentant STU v umení</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480"/>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lang w:eastAsia="sk-SK"/>
              </w:rPr>
            </w:pPr>
            <w:r w:rsidRPr="00F0732E">
              <w:rPr>
                <w:rFonts w:eastAsia="Times New Roman" w:cs="Arial"/>
                <w:lang w:eastAsia="sk-SK"/>
              </w:rPr>
              <w:t>mimoriadna činnosť konaná v prospech STU</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55"/>
        </w:trPr>
        <w:tc>
          <w:tcPr>
            <w:tcW w:w="1358" w:type="dxa"/>
            <w:tcBorders>
              <w:top w:val="nil"/>
              <w:left w:val="single" w:sz="4" w:space="0" w:color="auto"/>
              <w:bottom w:val="nil"/>
              <w:right w:val="single" w:sz="4" w:space="0" w:color="auto"/>
            </w:tcBorders>
            <w:shd w:val="clear" w:color="auto" w:fill="auto"/>
            <w:vAlign w:val="center"/>
            <w:hideMark/>
          </w:tcPr>
          <w:p w:rsidR="00B51749" w:rsidRPr="00F0732E" w:rsidRDefault="00B51749" w:rsidP="00447572">
            <w:pPr>
              <w:rPr>
                <w:rFonts w:eastAsia="Times New Roman" w:cs="Arial"/>
                <w:lang w:eastAsia="sk-SK"/>
              </w:rPr>
            </w:pPr>
            <w:r w:rsidRPr="00F0732E">
              <w:rPr>
                <w:rFonts w:eastAsia="Times New Roman" w:cs="Arial"/>
                <w:lang w:eastAsia="sk-SK"/>
              </w:rPr>
              <w:t> </w:t>
            </w:r>
          </w:p>
        </w:tc>
        <w:tc>
          <w:tcPr>
            <w:tcW w:w="2614" w:type="dxa"/>
            <w:tcBorders>
              <w:top w:val="nil"/>
              <w:left w:val="nil"/>
              <w:bottom w:val="single" w:sz="4" w:space="0" w:color="auto"/>
              <w:right w:val="single" w:sz="4" w:space="0" w:color="auto"/>
            </w:tcBorders>
            <w:shd w:val="clear" w:color="auto" w:fill="auto"/>
            <w:vAlign w:val="bottom"/>
            <w:hideMark/>
          </w:tcPr>
          <w:p w:rsidR="00B51749" w:rsidRPr="00F0732E" w:rsidRDefault="00B51749" w:rsidP="00447572">
            <w:pPr>
              <w:rPr>
                <w:rFonts w:eastAsia="Times New Roman" w:cs="Arial"/>
                <w:lang w:eastAsia="sk-SK"/>
              </w:rPr>
            </w:pPr>
            <w:r w:rsidRPr="00F0732E">
              <w:rPr>
                <w:rFonts w:eastAsia="Times New Roman" w:cs="Arial"/>
                <w:lang w:eastAsia="sk-SK"/>
              </w:rPr>
              <w:t xml:space="preserve">humánny čin roka </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480"/>
        </w:trPr>
        <w:tc>
          <w:tcPr>
            <w:tcW w:w="3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Mimoriadne štipendium na podporu vrcholových športovcov</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525"/>
        </w:trPr>
        <w:tc>
          <w:tcPr>
            <w:tcW w:w="3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 xml:space="preserve">Mimoriadne štipendium rektora za významnú činnosť konanú v prospech STU </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r>
      <w:tr w:rsidR="00B51749" w:rsidRPr="00F0732E" w:rsidTr="00447572">
        <w:trPr>
          <w:trHeight w:val="525"/>
        </w:trPr>
        <w:tc>
          <w:tcPr>
            <w:tcW w:w="3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Motivačné štipendium rektora za mimoriadny výsledok v umeleckej činnosti</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w:t>
            </w:r>
          </w:p>
        </w:tc>
        <w:tc>
          <w:tcPr>
            <w:tcW w:w="1016"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40"/>
        </w:trPr>
        <w:tc>
          <w:tcPr>
            <w:tcW w:w="3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Cena dekana za I. stupeň štúdia</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10</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19</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240"/>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Cena dekana za II. stupeň štúdia</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28</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12</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12</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27</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810"/>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Ďalšie ocenenia dekanov fakúlt za štúdium, záverečné práce (pochvalné listy, pochvalné uznania a diplomy dekana a pod.)</w:t>
            </w:r>
          </w:p>
        </w:tc>
        <w:tc>
          <w:tcPr>
            <w:tcW w:w="56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21</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12</w:t>
            </w:r>
          </w:p>
        </w:tc>
        <w:tc>
          <w:tcPr>
            <w:tcW w:w="56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38</w:t>
            </w:r>
          </w:p>
        </w:tc>
        <w:tc>
          <w:tcPr>
            <w:tcW w:w="1016"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6</w:t>
            </w:r>
          </w:p>
        </w:tc>
        <w:tc>
          <w:tcPr>
            <w:tcW w:w="514"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47</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64</w:t>
            </w:r>
          </w:p>
        </w:tc>
        <w:tc>
          <w:tcPr>
            <w:tcW w:w="653"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8</w:t>
            </w:r>
          </w:p>
        </w:tc>
      </w:tr>
      <w:tr w:rsidR="00B51749" w:rsidRPr="00F0732E" w:rsidTr="00447572">
        <w:trPr>
          <w:trHeight w:val="405"/>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Mim. štipendium za vynik. štud. výsledky – I. stupeň štúdia</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126</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49</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7</w:t>
            </w:r>
          </w:p>
        </w:tc>
        <w:tc>
          <w:tcPr>
            <w:tcW w:w="1016"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21</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w:t>
            </w:r>
          </w:p>
        </w:tc>
      </w:tr>
      <w:tr w:rsidR="00B51749" w:rsidRPr="00F0732E" w:rsidTr="00447572">
        <w:trPr>
          <w:trHeight w:val="405"/>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Mim. štipendium za vynik. štud. výsledky – II. stupeň štúdia</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60</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53</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54</w:t>
            </w:r>
          </w:p>
        </w:tc>
        <w:tc>
          <w:tcPr>
            <w:tcW w:w="1016"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14</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7</w:t>
            </w:r>
          </w:p>
        </w:tc>
      </w:tr>
      <w:tr w:rsidR="00B51749" w:rsidRPr="00F0732E" w:rsidTr="00447572">
        <w:trPr>
          <w:trHeight w:val="480"/>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F6626B">
            <w:pPr>
              <w:jc w:val="left"/>
              <w:rPr>
                <w:rFonts w:eastAsia="Times New Roman" w:cs="Arial"/>
                <w:lang w:eastAsia="sk-SK"/>
              </w:rPr>
            </w:pPr>
            <w:r w:rsidRPr="00F0732E">
              <w:rPr>
                <w:rFonts w:eastAsia="Times New Roman" w:cs="Arial"/>
                <w:lang w:eastAsia="sk-SK"/>
              </w:rPr>
              <w:t>Mim. štipendium za vynik. štud. výsledky – III. stupeň štúdia</w:t>
            </w:r>
          </w:p>
        </w:tc>
        <w:tc>
          <w:tcPr>
            <w:tcW w:w="564"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94</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6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26</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2</w:t>
            </w:r>
          </w:p>
        </w:tc>
        <w:tc>
          <w:tcPr>
            <w:tcW w:w="653"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lang w:eastAsia="sk-SK"/>
              </w:rPr>
            </w:pPr>
            <w:r w:rsidRPr="00F0732E">
              <w:rPr>
                <w:rFonts w:eastAsia="Times New Roman" w:cs="Arial"/>
                <w:lang w:eastAsia="sk-SK"/>
              </w:rPr>
              <w:t> </w:t>
            </w:r>
          </w:p>
        </w:tc>
      </w:tr>
      <w:tr w:rsidR="00B51749" w:rsidRPr="00F0732E" w:rsidTr="00447572">
        <w:trPr>
          <w:trHeight w:val="330"/>
        </w:trPr>
        <w:tc>
          <w:tcPr>
            <w:tcW w:w="39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51749" w:rsidRPr="00F0732E" w:rsidRDefault="00B51749" w:rsidP="00447572">
            <w:pPr>
              <w:jc w:val="right"/>
              <w:rPr>
                <w:rFonts w:eastAsia="Times New Roman" w:cs="Arial"/>
                <w:b/>
                <w:bCs/>
                <w:lang w:eastAsia="sk-SK"/>
              </w:rPr>
            </w:pPr>
            <w:r w:rsidRPr="00F0732E">
              <w:rPr>
                <w:rFonts w:eastAsia="Times New Roman" w:cs="Arial"/>
                <w:b/>
                <w:bCs/>
                <w:lang w:eastAsia="sk-SK"/>
              </w:rPr>
              <w:t>Spolu</w:t>
            </w:r>
          </w:p>
        </w:tc>
        <w:tc>
          <w:tcPr>
            <w:tcW w:w="564"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365</w:t>
            </w:r>
          </w:p>
        </w:tc>
        <w:tc>
          <w:tcPr>
            <w:tcW w:w="563"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sz w:val="22"/>
                <w:szCs w:val="22"/>
                <w:lang w:eastAsia="sk-SK"/>
              </w:rPr>
              <w:t>152</w:t>
            </w:r>
          </w:p>
        </w:tc>
        <w:tc>
          <w:tcPr>
            <w:tcW w:w="563"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136</w:t>
            </w:r>
          </w:p>
        </w:tc>
        <w:tc>
          <w:tcPr>
            <w:tcW w:w="1016"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76</w:t>
            </w:r>
          </w:p>
        </w:tc>
        <w:tc>
          <w:tcPr>
            <w:tcW w:w="514"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15</w:t>
            </w:r>
          </w:p>
        </w:tc>
        <w:tc>
          <w:tcPr>
            <w:tcW w:w="653"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85</w:t>
            </w:r>
          </w:p>
        </w:tc>
        <w:tc>
          <w:tcPr>
            <w:tcW w:w="653"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113</w:t>
            </w:r>
          </w:p>
        </w:tc>
        <w:tc>
          <w:tcPr>
            <w:tcW w:w="653"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center"/>
              <w:rPr>
                <w:rFonts w:eastAsia="Times New Roman" w:cs="Arial"/>
                <w:b/>
                <w:bCs/>
                <w:lang w:eastAsia="sk-SK"/>
              </w:rPr>
            </w:pPr>
            <w:r w:rsidRPr="00F0732E">
              <w:rPr>
                <w:rFonts w:eastAsia="Times New Roman" w:cs="Arial"/>
                <w:b/>
                <w:bCs/>
                <w:lang w:eastAsia="sk-SK"/>
              </w:rPr>
              <w:t>25</w:t>
            </w:r>
          </w:p>
        </w:tc>
      </w:tr>
    </w:tbl>
    <w:p w:rsidR="00B51749" w:rsidRPr="00F0732E" w:rsidRDefault="00B51749" w:rsidP="00B51749">
      <w:pPr>
        <w:rPr>
          <w:rFonts w:cs="Calibri"/>
          <w:b/>
          <w:shd w:val="clear" w:color="auto" w:fill="FFFFFF"/>
        </w:rPr>
      </w:pPr>
    </w:p>
    <w:p w:rsidR="00B51749" w:rsidRPr="00F0732E" w:rsidRDefault="00B51749" w:rsidP="00B51749">
      <w:pPr>
        <w:rPr>
          <w:b/>
          <w:color w:val="FF0000"/>
          <w:sz w:val="28"/>
          <w:szCs w:val="28"/>
          <w:shd w:val="clear" w:color="auto" w:fill="FFFFFF"/>
        </w:rPr>
      </w:pPr>
    </w:p>
    <w:p w:rsidR="00B51749" w:rsidRPr="00F0732E" w:rsidRDefault="00B51749" w:rsidP="00B51749">
      <w:pPr>
        <w:pStyle w:val="Nadpis2"/>
        <w:rPr>
          <w:rFonts w:ascii="Cambria" w:hAnsi="Cambria"/>
          <w:color w:val="auto"/>
          <w:shd w:val="clear" w:color="auto" w:fill="FFFFFF"/>
        </w:rPr>
      </w:pPr>
      <w:bookmarkStart w:id="21" w:name="_Toc413009324"/>
      <w:r w:rsidRPr="00F0732E">
        <w:rPr>
          <w:rFonts w:ascii="Cambria" w:hAnsi="Cambria"/>
          <w:color w:val="auto"/>
          <w:shd w:val="clear" w:color="auto" w:fill="FFFFFF"/>
        </w:rPr>
        <w:t>Študentská vedecká odborná činnosť na STU</w:t>
      </w:r>
      <w:bookmarkEnd w:id="21"/>
    </w:p>
    <w:p w:rsidR="00B51749" w:rsidRPr="00F0732E" w:rsidRDefault="00B51749" w:rsidP="00B51749">
      <w:pPr>
        <w:rPr>
          <w:color w:val="FF0000"/>
          <w:sz w:val="28"/>
          <w:szCs w:val="28"/>
        </w:rPr>
      </w:pPr>
    </w:p>
    <w:p w:rsidR="00B51749" w:rsidRPr="00F0732E" w:rsidRDefault="00B51749" w:rsidP="00B51749">
      <w:pPr>
        <w:rPr>
          <w:rFonts w:cs="Calibri"/>
          <w:sz w:val="28"/>
          <w:szCs w:val="28"/>
        </w:rPr>
      </w:pPr>
      <w:r w:rsidRPr="00F0732E">
        <w:rPr>
          <w:rFonts w:cs="Calibri"/>
          <w:sz w:val="28"/>
          <w:szCs w:val="28"/>
          <w:shd w:val="clear" w:color="auto" w:fill="FFFFFF"/>
        </w:rPr>
        <w:lastRenderedPageBreak/>
        <w:t xml:space="preserve">Dôležitou oblasťou komplexného vysokoškolského vzdelávania je rozvoj vedeckej a umeleckej činnosti študentov. Na túto oblasť je špecificky zameraná </w:t>
      </w:r>
      <w:r w:rsidRPr="00F0732E">
        <w:rPr>
          <w:rFonts w:cs="Calibri"/>
          <w:sz w:val="28"/>
          <w:szCs w:val="28"/>
        </w:rPr>
        <w:t>Študentská vedecká a odborná činnosť (ŠVOČ), ktorá má na STU dlhoročnú tradíciu. Zúčastňujú sa jej hlavne študenti v 2. a 3. roku štúdia na prvom stupni a v 1. a 2. roku štúdia na druhom stupni. ŠVOČ sa každý rok završuje konferenciou (Študentská vedecká konferencia – ŠVK), na ktorej študenti prezentujú výsledky svojej vedeckej, odbornej činnosti. ŠVK prebieha vo forme jednodňovej konferencie v odborných sekciách, kde študenti majú možnosť prezentovať svoje práce prostredníctvom posterov, alebo odbornej power-pointovej prezentácie. Niektoré fakulty vydávajú pri príležitosti ŠVK zborník prác študentov.</w:t>
      </w:r>
    </w:p>
    <w:p w:rsidR="00B51749" w:rsidRPr="00F0732E" w:rsidRDefault="00B51749" w:rsidP="00B51749">
      <w:pPr>
        <w:autoSpaceDE w:val="0"/>
        <w:autoSpaceDN w:val="0"/>
        <w:adjustRightInd w:val="0"/>
        <w:rPr>
          <w:rFonts w:cs="Calibri"/>
          <w:sz w:val="28"/>
          <w:szCs w:val="28"/>
        </w:rPr>
      </w:pPr>
      <w:r w:rsidRPr="00F0732E">
        <w:rPr>
          <w:rFonts w:cs="Calibri"/>
          <w:sz w:val="28"/>
          <w:szCs w:val="28"/>
        </w:rPr>
        <w:t>V každej odbornej sekcii sú odbornou komisiou vyhodnocované najlepšie práce, ktoré sú slávnostne vyhlásené na záver ŠVK. Študenti víťazných prác sú okrem diplomov ocenení mimoriadnym štipendiom. Niektoré fakulty využívajú pri organizovaní ŠVK a oceňovaní najlepších prác podporu sponzorov – vo väčšine prípadov významných firiem z danej odbornej oblasti (Slovenská spoločnosť pre kybernetiku a informatiku, Oracle, Slovenská elektrizačná prenosová, Slovnaft, Slovenský plynárenský priemysel a ďalšie).</w:t>
      </w:r>
    </w:p>
    <w:p w:rsidR="00B51749" w:rsidRPr="00F0732E" w:rsidRDefault="00B51749" w:rsidP="00B51749">
      <w:pPr>
        <w:rPr>
          <w:rFonts w:cs="Calibri"/>
          <w:sz w:val="28"/>
          <w:szCs w:val="28"/>
        </w:rPr>
      </w:pPr>
      <w:r w:rsidRPr="00F0732E">
        <w:rPr>
          <w:rFonts w:cs="Calibri"/>
          <w:sz w:val="28"/>
          <w:szCs w:val="28"/>
        </w:rPr>
        <w:t>Najlepšie práce ŠVK sú nominované na Cenu literárneho fondu (v akad. roku bolo celkovo ocenených 31 prác (SvF –14, SjF – 7, FEI – 6, FIIT – 4).</w:t>
      </w:r>
    </w:p>
    <w:p w:rsidR="00B51749" w:rsidRPr="00F0732E" w:rsidRDefault="00B51749" w:rsidP="00B51749">
      <w:pPr>
        <w:rPr>
          <w:rFonts w:cs="Calibri"/>
          <w:sz w:val="28"/>
          <w:szCs w:val="28"/>
        </w:rPr>
      </w:pPr>
      <w:r w:rsidRPr="00F0732E">
        <w:rPr>
          <w:rFonts w:cs="Calibri"/>
          <w:sz w:val="28"/>
          <w:szCs w:val="28"/>
        </w:rPr>
        <w:t xml:space="preserve">Okrem ŠVK organizujú fakulty ako podporu vedeckej práce študentov doktorandského štúdia </w:t>
      </w:r>
      <w:r w:rsidRPr="00F0732E">
        <w:rPr>
          <w:rFonts w:cs="Calibri"/>
          <w:b/>
          <w:sz w:val="28"/>
          <w:szCs w:val="28"/>
        </w:rPr>
        <w:t>medzinárodné doktorandské semináre</w:t>
      </w:r>
      <w:r w:rsidRPr="00F0732E">
        <w:rPr>
          <w:rFonts w:cs="Calibri"/>
          <w:sz w:val="28"/>
          <w:szCs w:val="28"/>
        </w:rPr>
        <w:t xml:space="preserve"> (MTF, FA, FEI, FIIT v rámci fakultnej ŠVK). V roku 2013 sa medzinárodný doktorandský seminár na MTF uskutočnil mimo Slovenska – v poľskej Zelenej Hore.</w:t>
      </w:r>
    </w:p>
    <w:p w:rsidR="00B51749" w:rsidRPr="00F0732E" w:rsidRDefault="00B51749" w:rsidP="00B51749">
      <w:pPr>
        <w:rPr>
          <w:rFonts w:cs="Calibri"/>
          <w:sz w:val="28"/>
          <w:szCs w:val="28"/>
        </w:rPr>
      </w:pPr>
      <w:r w:rsidRPr="00F0732E">
        <w:rPr>
          <w:rFonts w:cs="Calibri"/>
          <w:sz w:val="28"/>
          <w:szCs w:val="28"/>
        </w:rPr>
        <w:t>Kvantitatívny prehľad ŠVOČ a ŠVK je uvedený v Tabuľke 3.31 a v Grafe  3.12.</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3.31:  Kvantitatívny prehľad ŠVOČ na STU v rokoch 2010/2011 až 2012/2013</w:t>
      </w:r>
    </w:p>
    <w:tbl>
      <w:tblPr>
        <w:tblW w:w="9680" w:type="dxa"/>
        <w:tblInd w:w="55" w:type="dxa"/>
        <w:tblCellMar>
          <w:left w:w="70" w:type="dxa"/>
          <w:right w:w="70" w:type="dxa"/>
        </w:tblCellMar>
        <w:tblLook w:val="04A0" w:firstRow="1" w:lastRow="0" w:firstColumn="1" w:lastColumn="0" w:noHBand="0" w:noVBand="1"/>
      </w:tblPr>
      <w:tblGrid>
        <w:gridCol w:w="1008"/>
        <w:gridCol w:w="951"/>
        <w:gridCol w:w="867"/>
        <w:gridCol w:w="1214"/>
        <w:gridCol w:w="951"/>
        <w:gridCol w:w="867"/>
        <w:gridCol w:w="1214"/>
        <w:gridCol w:w="951"/>
        <w:gridCol w:w="867"/>
        <w:gridCol w:w="1214"/>
      </w:tblGrid>
      <w:tr w:rsidR="00B51749" w:rsidRPr="00F0732E" w:rsidTr="00447572">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2011/2012</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2012/2013</w:t>
            </w:r>
          </w:p>
        </w:tc>
        <w:tc>
          <w:tcPr>
            <w:tcW w:w="29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2013/2014</w:t>
            </w:r>
          </w:p>
        </w:tc>
      </w:tr>
      <w:tr w:rsidR="00B51749" w:rsidRPr="00F0732E" w:rsidTr="00447572">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sz w:val="28"/>
                <w:szCs w:val="28"/>
                <w:lang w:eastAsia="sk-SK"/>
              </w:rPr>
            </w:pP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sekcie</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práce</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študenti</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sekcie</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práce</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študenti</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sekcie</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práce</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študenti</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237</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289</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235</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299</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249</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323</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105</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108</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12</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109</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115</w:t>
            </w:r>
          </w:p>
        </w:tc>
        <w:tc>
          <w:tcPr>
            <w:tcW w:w="90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w:t>
            </w:r>
          </w:p>
        </w:tc>
        <w:tc>
          <w:tcPr>
            <w:tcW w:w="840"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103</w:t>
            </w:r>
          </w:p>
        </w:tc>
        <w:tc>
          <w:tcPr>
            <w:tcW w:w="1212"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107</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130</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149</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17</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109</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124</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13</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80</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19</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156</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161</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21</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166</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169</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19</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179</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186</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119</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184</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98</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155</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89</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142</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12</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93</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101</w:t>
            </w:r>
          </w:p>
        </w:tc>
        <w:tc>
          <w:tcPr>
            <w:tcW w:w="883"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13</w:t>
            </w:r>
          </w:p>
        </w:tc>
        <w:tc>
          <w:tcPr>
            <w:tcW w:w="81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102</w:t>
            </w:r>
          </w:p>
        </w:tc>
        <w:tc>
          <w:tcPr>
            <w:tcW w:w="1179"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111</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15</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119</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129</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79</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86</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76</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88</w:t>
            </w:r>
          </w:p>
        </w:tc>
        <w:tc>
          <w:tcPr>
            <w:tcW w:w="908"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w:t>
            </w:r>
          </w:p>
        </w:tc>
        <w:tc>
          <w:tcPr>
            <w:tcW w:w="84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104</w:t>
            </w:r>
          </w:p>
        </w:tc>
        <w:tc>
          <w:tcPr>
            <w:tcW w:w="1212"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120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lastRenderedPageBreak/>
              <w:t>UM</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21</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22</w:t>
            </w:r>
          </w:p>
        </w:tc>
        <w:tc>
          <w:tcPr>
            <w:tcW w:w="883"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w:t>
            </w:r>
          </w:p>
        </w:tc>
        <w:tc>
          <w:tcPr>
            <w:tcW w:w="81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23</w:t>
            </w:r>
          </w:p>
        </w:tc>
        <w:tc>
          <w:tcPr>
            <w:tcW w:w="1179"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30</w:t>
            </w:r>
          </w:p>
        </w:tc>
        <w:tc>
          <w:tcPr>
            <w:tcW w:w="908"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w:t>
            </w:r>
          </w:p>
        </w:tc>
        <w:tc>
          <w:tcPr>
            <w:tcW w:w="1212" w:type="dxa"/>
            <w:tcBorders>
              <w:top w:val="nil"/>
              <w:left w:val="nil"/>
              <w:bottom w:val="single" w:sz="4" w:space="0" w:color="auto"/>
              <w:right w:val="single" w:sz="4" w:space="0" w:color="auto"/>
            </w:tcBorders>
            <w:shd w:val="clear" w:color="000000" w:fill="FFFFFF"/>
            <w:noWrap/>
            <w:vAlign w:val="bottom"/>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883"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96</w:t>
            </w:r>
          </w:p>
        </w:tc>
        <w:tc>
          <w:tcPr>
            <w:tcW w:w="818"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940</w:t>
            </w:r>
          </w:p>
        </w:tc>
        <w:tc>
          <w:tcPr>
            <w:tcW w:w="1179"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1 100</w:t>
            </w:r>
          </w:p>
        </w:tc>
        <w:tc>
          <w:tcPr>
            <w:tcW w:w="883"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98</w:t>
            </w:r>
          </w:p>
        </w:tc>
        <w:tc>
          <w:tcPr>
            <w:tcW w:w="818"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918</w:t>
            </w:r>
          </w:p>
        </w:tc>
        <w:tc>
          <w:tcPr>
            <w:tcW w:w="1179"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1 091</w:t>
            </w:r>
          </w:p>
        </w:tc>
        <w:tc>
          <w:tcPr>
            <w:tcW w:w="908"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96</w:t>
            </w:r>
          </w:p>
        </w:tc>
        <w:tc>
          <w:tcPr>
            <w:tcW w:w="840"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right"/>
              <w:rPr>
                <w:rFonts w:eastAsia="Times New Roman" w:cs="Arial"/>
                <w:b/>
                <w:bCs/>
                <w:sz w:val="28"/>
                <w:szCs w:val="28"/>
                <w:lang w:eastAsia="sk-SK"/>
              </w:rPr>
            </w:pPr>
            <w:r w:rsidRPr="00F0732E">
              <w:rPr>
                <w:rFonts w:eastAsia="Times New Roman" w:cs="Arial"/>
                <w:b/>
                <w:bCs/>
                <w:sz w:val="28"/>
                <w:szCs w:val="28"/>
                <w:lang w:eastAsia="sk-SK"/>
              </w:rPr>
              <w:t>930</w:t>
            </w:r>
          </w:p>
        </w:tc>
        <w:tc>
          <w:tcPr>
            <w:tcW w:w="1212"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1 106</w:t>
            </w:r>
          </w:p>
        </w:tc>
      </w:tr>
    </w:tbl>
    <w:p w:rsidR="00B51749" w:rsidRPr="00F0732E" w:rsidRDefault="00B51749" w:rsidP="00B51749">
      <w:pPr>
        <w:tabs>
          <w:tab w:val="left" w:pos="8080"/>
        </w:tabs>
        <w:ind w:right="-284"/>
        <w:rPr>
          <w:rFonts w:cs="Calibri"/>
          <w:b/>
          <w:sz w:val="28"/>
          <w:szCs w:val="28"/>
        </w:rPr>
      </w:pPr>
      <w:r w:rsidRPr="00F0732E">
        <w:rPr>
          <w:rFonts w:cs="Calibri"/>
          <w:b/>
          <w:sz w:val="28"/>
          <w:szCs w:val="28"/>
          <w:shd w:val="clear" w:color="auto" w:fill="FFFFFF"/>
        </w:rPr>
        <w:t xml:space="preserve">Graf 3.16:  Kvantitatívny prehľad ŠVOČ na STU </w:t>
      </w:r>
      <w:r w:rsidRPr="00F0732E">
        <w:rPr>
          <w:rFonts w:cs="Calibri"/>
          <w:b/>
          <w:sz w:val="28"/>
          <w:szCs w:val="28"/>
        </w:rPr>
        <w:t>v rokoch 2010/2011 až 2012/2013</w:t>
      </w:r>
    </w:p>
    <w:p w:rsidR="00B51749" w:rsidRPr="00F0732E" w:rsidRDefault="00B51749" w:rsidP="00B51749">
      <w:pPr>
        <w:tabs>
          <w:tab w:val="left" w:pos="8080"/>
        </w:tabs>
        <w:ind w:right="-284"/>
        <w:rPr>
          <w:rFonts w:cs="Calibri"/>
          <w:sz w:val="28"/>
          <w:szCs w:val="28"/>
          <w:shd w:val="clear" w:color="auto" w:fill="FFFFFF"/>
        </w:rPr>
      </w:pPr>
      <w:r>
        <w:rPr>
          <w:noProof/>
          <w:sz w:val="28"/>
          <w:szCs w:val="28"/>
          <w:lang w:eastAsia="sk-SK"/>
        </w:rPr>
        <w:drawing>
          <wp:inline distT="0" distB="0" distL="0" distR="0">
            <wp:extent cx="4667250" cy="3238500"/>
            <wp:effectExtent l="0" t="0" r="0" b="0"/>
            <wp:docPr id="31" name="Graf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1749" w:rsidRPr="00F0732E" w:rsidRDefault="00B51749" w:rsidP="00B51749">
      <w:pPr>
        <w:rPr>
          <w:b/>
          <w:bCs/>
          <w:color w:val="FF0000"/>
          <w:sz w:val="28"/>
          <w:szCs w:val="28"/>
        </w:rPr>
      </w:pPr>
    </w:p>
    <w:p w:rsidR="00B51749" w:rsidRPr="00F0732E" w:rsidRDefault="00B51749" w:rsidP="00B51749">
      <w:pPr>
        <w:pStyle w:val="Nadpis1"/>
        <w:rPr>
          <w:rFonts w:ascii="Cambria" w:hAnsi="Cambria"/>
          <w:color w:val="auto"/>
          <w:sz w:val="28"/>
          <w:szCs w:val="28"/>
        </w:rPr>
      </w:pPr>
      <w:bookmarkStart w:id="22" w:name="_Toc413009325"/>
      <w:r w:rsidRPr="00F0732E">
        <w:rPr>
          <w:rFonts w:ascii="Cambria" w:hAnsi="Cambria"/>
          <w:color w:val="auto"/>
          <w:sz w:val="28"/>
          <w:szCs w:val="28"/>
        </w:rPr>
        <w:t>Poskytovanie ďalšieho vzdelávania</w:t>
      </w:r>
      <w:bookmarkEnd w:id="22"/>
    </w:p>
    <w:p w:rsidR="00B51749" w:rsidRPr="00F0732E" w:rsidRDefault="00B51749" w:rsidP="00B51749">
      <w:pPr>
        <w:rPr>
          <w:rFonts w:cs="Calibri"/>
          <w:sz w:val="28"/>
          <w:szCs w:val="28"/>
        </w:rPr>
      </w:pPr>
      <w:r w:rsidRPr="00F0732E">
        <w:rPr>
          <w:rFonts w:cs="Calibri"/>
          <w:sz w:val="28"/>
          <w:szCs w:val="28"/>
        </w:rPr>
        <w:t>Ďalšie vzdelávanie na STU je poskytované na jednotlivých súčastiach univerzity (fakulty a ústavy) a osobitne na Inštitúte celoživotného vzdelávania (ICV) STU, ktorý je špecializovaným útvarom univerzity zaoberajúci sa ďalším vzdelávaním.</w:t>
      </w:r>
    </w:p>
    <w:p w:rsidR="00B51749" w:rsidRPr="00F0732E" w:rsidRDefault="00B51749" w:rsidP="00B51749">
      <w:pPr>
        <w:rPr>
          <w:rFonts w:cs="Calibri"/>
          <w:sz w:val="28"/>
          <w:szCs w:val="28"/>
        </w:rPr>
      </w:pPr>
      <w:r w:rsidRPr="00F0732E">
        <w:rPr>
          <w:rFonts w:cs="Calibri"/>
          <w:sz w:val="28"/>
          <w:szCs w:val="28"/>
        </w:rPr>
        <w:t xml:space="preserve">V hodnotenom roku sa realizovalo 167 programov ďalšieho vzdelávania, ktoré absolvovalo spolu 4 202 frekventantov. Kvantitatívny prehľad (spoločný za fakulty a ICV) ďalšieho vzdelávania je uvedený v Tabuľke 3.32.  </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3.32: Kvantitatívny prehľad uskutočnených aktivít ďalšieho vzdelávania na STU za akad. rok 2013/14</w:t>
      </w:r>
    </w:p>
    <w:tbl>
      <w:tblPr>
        <w:tblW w:w="9260" w:type="dxa"/>
        <w:tblInd w:w="55" w:type="dxa"/>
        <w:tblCellMar>
          <w:left w:w="70" w:type="dxa"/>
          <w:right w:w="70" w:type="dxa"/>
        </w:tblCellMar>
        <w:tblLook w:val="04A0" w:firstRow="1" w:lastRow="0" w:firstColumn="1" w:lastColumn="0" w:noHBand="0" w:noVBand="1"/>
      </w:tblPr>
      <w:tblGrid>
        <w:gridCol w:w="503"/>
        <w:gridCol w:w="1831"/>
        <w:gridCol w:w="700"/>
        <w:gridCol w:w="700"/>
        <w:gridCol w:w="700"/>
        <w:gridCol w:w="965"/>
        <w:gridCol w:w="700"/>
        <w:gridCol w:w="700"/>
        <w:gridCol w:w="700"/>
        <w:gridCol w:w="700"/>
        <w:gridCol w:w="761"/>
        <w:gridCol w:w="820"/>
      </w:tblGrid>
      <w:tr w:rsidR="00B51749" w:rsidRPr="00F0732E" w:rsidTr="00447572">
        <w:trPr>
          <w:trHeight w:val="375"/>
        </w:trPr>
        <w:tc>
          <w:tcPr>
            <w:tcW w:w="2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SvF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SjF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FEI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FCHPT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MTF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FIIT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ÚM</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ICV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STU</w:t>
            </w:r>
          </w:p>
        </w:tc>
      </w:tr>
      <w:tr w:rsidR="00B51749" w:rsidRPr="00F0732E" w:rsidTr="00447572">
        <w:trPr>
          <w:trHeight w:val="610"/>
        </w:trPr>
        <w:tc>
          <w:tcPr>
            <w:tcW w:w="5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neakreditované </w:t>
            </w:r>
          </w:p>
        </w:tc>
        <w:tc>
          <w:tcPr>
            <w:tcW w:w="151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23</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212</w:t>
            </w:r>
          </w:p>
        </w:tc>
        <w:tc>
          <w:tcPr>
            <w:tcW w:w="70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45</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1 329</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503</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253</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87</w:t>
            </w:r>
          </w:p>
        </w:tc>
        <w:tc>
          <w:tcPr>
            <w:tcW w:w="700" w:type="dxa"/>
            <w:tcBorders>
              <w:top w:val="nil"/>
              <w:left w:val="nil"/>
              <w:bottom w:val="nil"/>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1098</w:t>
            </w:r>
          </w:p>
        </w:tc>
        <w:tc>
          <w:tcPr>
            <w:tcW w:w="8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3550</w:t>
            </w:r>
          </w:p>
        </w:tc>
      </w:tr>
      <w:tr w:rsidR="00B51749" w:rsidRPr="00F0732E" w:rsidTr="00447572">
        <w:trPr>
          <w:trHeight w:val="610"/>
        </w:trPr>
        <w:tc>
          <w:tcPr>
            <w:tcW w:w="503"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51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21</w:t>
            </w:r>
          </w:p>
        </w:tc>
        <w:tc>
          <w:tcPr>
            <w:tcW w:w="70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14</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17</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13</w:t>
            </w:r>
          </w:p>
        </w:tc>
        <w:tc>
          <w:tcPr>
            <w:tcW w:w="700" w:type="dxa"/>
            <w:tcBorders>
              <w:top w:val="single" w:sz="4" w:space="0" w:color="auto"/>
              <w:left w:val="nil"/>
              <w:bottom w:val="nil"/>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56</w:t>
            </w:r>
          </w:p>
        </w:tc>
        <w:tc>
          <w:tcPr>
            <w:tcW w:w="8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135</w:t>
            </w:r>
          </w:p>
        </w:tc>
      </w:tr>
      <w:tr w:rsidR="00B51749" w:rsidRPr="00F0732E" w:rsidTr="00447572">
        <w:trPr>
          <w:trHeight w:val="579"/>
        </w:trPr>
        <w:tc>
          <w:tcPr>
            <w:tcW w:w="5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akreditované </w:t>
            </w:r>
          </w:p>
        </w:tc>
        <w:tc>
          <w:tcPr>
            <w:tcW w:w="151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188</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187</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19</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single" w:sz="4" w:space="0" w:color="auto"/>
              <w:left w:val="nil"/>
              <w:bottom w:val="nil"/>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258</w:t>
            </w:r>
          </w:p>
        </w:tc>
        <w:tc>
          <w:tcPr>
            <w:tcW w:w="8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652</w:t>
            </w:r>
          </w:p>
        </w:tc>
      </w:tr>
      <w:tr w:rsidR="00B51749" w:rsidRPr="00F0732E" w:rsidTr="00447572">
        <w:trPr>
          <w:trHeight w:val="579"/>
        </w:trPr>
        <w:tc>
          <w:tcPr>
            <w:tcW w:w="503" w:type="dxa"/>
            <w:vMerge/>
            <w:tcBorders>
              <w:top w:val="nil"/>
              <w:left w:val="single" w:sz="4" w:space="0" w:color="auto"/>
              <w:bottom w:val="single" w:sz="4" w:space="0" w:color="000000"/>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517"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00" w:type="dxa"/>
            <w:tcBorders>
              <w:top w:val="single" w:sz="4" w:space="0" w:color="auto"/>
              <w:left w:val="nil"/>
              <w:bottom w:val="nil"/>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18</w:t>
            </w:r>
          </w:p>
        </w:tc>
        <w:tc>
          <w:tcPr>
            <w:tcW w:w="8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32</w:t>
            </w:r>
          </w:p>
        </w:tc>
      </w:tr>
      <w:tr w:rsidR="00B51749" w:rsidRPr="00F0732E" w:rsidTr="00447572">
        <w:trPr>
          <w:trHeight w:val="480"/>
        </w:trPr>
        <w:tc>
          <w:tcPr>
            <w:tcW w:w="503" w:type="dxa"/>
            <w:vMerge w:val="restart"/>
            <w:tcBorders>
              <w:top w:val="nil"/>
              <w:left w:val="single" w:sz="4" w:space="0" w:color="auto"/>
              <w:bottom w:val="single" w:sz="4" w:space="0" w:color="000000"/>
              <w:right w:val="single" w:sz="4" w:space="0" w:color="auto"/>
            </w:tcBorders>
            <w:shd w:val="clear" w:color="auto" w:fill="BFBFBF"/>
            <w:noWrap/>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c>
          <w:tcPr>
            <w:tcW w:w="1517"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211</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212</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232</w:t>
            </w:r>
          </w:p>
        </w:tc>
        <w:tc>
          <w:tcPr>
            <w:tcW w:w="7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1 329</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503</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272</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87</w:t>
            </w:r>
          </w:p>
        </w:tc>
        <w:tc>
          <w:tcPr>
            <w:tcW w:w="700" w:type="dxa"/>
            <w:tcBorders>
              <w:top w:val="single" w:sz="4" w:space="0" w:color="auto"/>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1356</w:t>
            </w:r>
          </w:p>
        </w:tc>
        <w:tc>
          <w:tcPr>
            <w:tcW w:w="8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4202</w:t>
            </w:r>
          </w:p>
        </w:tc>
      </w:tr>
      <w:tr w:rsidR="00B51749" w:rsidRPr="00F0732E" w:rsidTr="00447572">
        <w:trPr>
          <w:trHeight w:val="480"/>
        </w:trPr>
        <w:tc>
          <w:tcPr>
            <w:tcW w:w="503" w:type="dxa"/>
            <w:vMerge/>
            <w:tcBorders>
              <w:top w:val="nil"/>
              <w:left w:val="single" w:sz="4" w:space="0" w:color="auto"/>
              <w:bottom w:val="single" w:sz="4" w:space="0" w:color="000000"/>
              <w:right w:val="single" w:sz="4" w:space="0" w:color="auto"/>
            </w:tcBorders>
            <w:shd w:val="clear" w:color="auto" w:fill="BFBFBF"/>
            <w:vAlign w:val="center"/>
            <w:hideMark/>
          </w:tcPr>
          <w:p w:rsidR="00B51749" w:rsidRPr="00F0732E" w:rsidRDefault="00B51749" w:rsidP="00447572">
            <w:pPr>
              <w:rPr>
                <w:rFonts w:eastAsia="Times New Roman" w:cs="Arial"/>
                <w:b/>
                <w:bCs/>
                <w:sz w:val="28"/>
                <w:szCs w:val="28"/>
                <w:lang w:eastAsia="sk-SK"/>
              </w:rPr>
            </w:pPr>
          </w:p>
        </w:tc>
        <w:tc>
          <w:tcPr>
            <w:tcW w:w="1517"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21</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10</w:t>
            </w:r>
          </w:p>
        </w:tc>
        <w:tc>
          <w:tcPr>
            <w:tcW w:w="7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14</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19</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13</w:t>
            </w:r>
          </w:p>
        </w:tc>
        <w:tc>
          <w:tcPr>
            <w:tcW w:w="70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7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74</w:t>
            </w:r>
          </w:p>
        </w:tc>
        <w:tc>
          <w:tcPr>
            <w:tcW w:w="8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jc w:val="right"/>
              <w:rPr>
                <w:rFonts w:eastAsia="Times New Roman" w:cs="Arial"/>
                <w:sz w:val="28"/>
                <w:szCs w:val="28"/>
                <w:lang w:eastAsia="sk-SK"/>
              </w:rPr>
            </w:pPr>
            <w:r w:rsidRPr="00F0732E">
              <w:rPr>
                <w:rFonts w:eastAsia="Times New Roman" w:cs="Arial"/>
                <w:sz w:val="28"/>
                <w:szCs w:val="28"/>
                <w:lang w:eastAsia="sk-SK"/>
              </w:rPr>
              <w:t>167</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V Tabuľke 3.33 a v Grafe 3.17 je pre porovnanie uvedený prehľad aktivít ďalšieho vzdelávania na STU za posledných 5 rokov. Z tabuľky je zrejmý mierny pokles počtu frekventantov ďalšieho vzdelávania na STU v 2013/2014 pri mierne narastajúcom počte vzdelávacích programov. </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3.33: Prehľad aktivít ďalšieho vzdelávania na STU za ak. roky 2009/10 – 2013/14</w:t>
      </w:r>
    </w:p>
    <w:tbl>
      <w:tblPr>
        <w:tblW w:w="7059" w:type="dxa"/>
        <w:tblInd w:w="55" w:type="dxa"/>
        <w:tblCellMar>
          <w:left w:w="70" w:type="dxa"/>
          <w:right w:w="70" w:type="dxa"/>
        </w:tblCellMar>
        <w:tblLook w:val="04A0" w:firstRow="1" w:lastRow="0" w:firstColumn="1" w:lastColumn="0" w:noHBand="0" w:noVBand="1"/>
      </w:tblPr>
      <w:tblGrid>
        <w:gridCol w:w="822"/>
        <w:gridCol w:w="1831"/>
        <w:gridCol w:w="1277"/>
        <w:gridCol w:w="1277"/>
        <w:gridCol w:w="1277"/>
        <w:gridCol w:w="1277"/>
        <w:gridCol w:w="1277"/>
      </w:tblGrid>
      <w:tr w:rsidR="00B51749" w:rsidRPr="00F0732E" w:rsidTr="00447572">
        <w:trPr>
          <w:trHeight w:val="39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2009/10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2010/11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2011/12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2012/13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2013/14</w:t>
            </w:r>
          </w:p>
        </w:tc>
      </w:tr>
      <w:tr w:rsidR="00B51749" w:rsidRPr="00F0732E" w:rsidTr="00447572">
        <w:trPr>
          <w:trHeight w:val="679"/>
        </w:trPr>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neakreditované </w:t>
            </w:r>
          </w:p>
        </w:tc>
        <w:tc>
          <w:tcPr>
            <w:tcW w:w="168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3 109</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3 189</w:t>
            </w:r>
          </w:p>
        </w:tc>
        <w:tc>
          <w:tcPr>
            <w:tcW w:w="102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3 668</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4 227</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3 550</w:t>
            </w:r>
          </w:p>
        </w:tc>
      </w:tr>
      <w:tr w:rsidR="00B51749" w:rsidRPr="00F0732E" w:rsidTr="00447572">
        <w:trPr>
          <w:trHeight w:val="679"/>
        </w:trPr>
        <w:tc>
          <w:tcPr>
            <w:tcW w:w="397"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68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162</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169</w:t>
            </w:r>
          </w:p>
        </w:tc>
        <w:tc>
          <w:tcPr>
            <w:tcW w:w="102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166</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79</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135</w:t>
            </w:r>
          </w:p>
        </w:tc>
      </w:tr>
      <w:tr w:rsidR="00B51749" w:rsidRPr="00F0732E" w:rsidTr="00447572">
        <w:trPr>
          <w:trHeight w:val="639"/>
        </w:trPr>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Akredito</w:t>
            </w:r>
          </w:p>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xml:space="preserve">vané </w:t>
            </w:r>
          </w:p>
        </w:tc>
        <w:tc>
          <w:tcPr>
            <w:tcW w:w="168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1 268</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929</w:t>
            </w:r>
          </w:p>
        </w:tc>
        <w:tc>
          <w:tcPr>
            <w:tcW w:w="102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721</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863</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652</w:t>
            </w:r>
          </w:p>
        </w:tc>
      </w:tr>
      <w:tr w:rsidR="00B51749" w:rsidRPr="00F0732E" w:rsidTr="00447572">
        <w:trPr>
          <w:trHeight w:val="639"/>
        </w:trPr>
        <w:tc>
          <w:tcPr>
            <w:tcW w:w="397" w:type="dxa"/>
            <w:vMerge/>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p>
        </w:tc>
        <w:tc>
          <w:tcPr>
            <w:tcW w:w="1682" w:type="dxa"/>
            <w:tcBorders>
              <w:top w:val="nil"/>
              <w:left w:val="nil"/>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67</w:t>
            </w:r>
          </w:p>
        </w:tc>
        <w:tc>
          <w:tcPr>
            <w:tcW w:w="102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53</w:t>
            </w:r>
          </w:p>
        </w:tc>
        <w:tc>
          <w:tcPr>
            <w:tcW w:w="102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34</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33</w:t>
            </w:r>
          </w:p>
        </w:tc>
        <w:tc>
          <w:tcPr>
            <w:tcW w:w="960" w:type="dxa"/>
            <w:tcBorders>
              <w:top w:val="nil"/>
              <w:left w:val="nil"/>
              <w:bottom w:val="single" w:sz="4" w:space="0" w:color="auto"/>
              <w:right w:val="single" w:sz="4" w:space="0" w:color="auto"/>
            </w:tcBorders>
            <w:shd w:val="clear" w:color="000000" w:fill="FFFFF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32</w:t>
            </w:r>
          </w:p>
        </w:tc>
      </w:tr>
      <w:tr w:rsidR="00B51749" w:rsidRPr="00F0732E" w:rsidTr="00447572">
        <w:trPr>
          <w:trHeight w:val="510"/>
        </w:trPr>
        <w:tc>
          <w:tcPr>
            <w:tcW w:w="397" w:type="dxa"/>
            <w:vMerge w:val="restart"/>
            <w:tcBorders>
              <w:top w:val="nil"/>
              <w:left w:val="single" w:sz="4" w:space="0" w:color="auto"/>
              <w:bottom w:val="single" w:sz="4" w:space="0" w:color="auto"/>
              <w:right w:val="single" w:sz="4" w:space="0" w:color="auto"/>
            </w:tcBorders>
            <w:shd w:val="clear" w:color="auto" w:fill="BFBFBF"/>
            <w:noWrap/>
            <w:textDirection w:val="btLr"/>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spolu</w:t>
            </w:r>
          </w:p>
        </w:tc>
        <w:tc>
          <w:tcPr>
            <w:tcW w:w="1682"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frekventantov</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4 377</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4 118</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4 389</w:t>
            </w:r>
          </w:p>
        </w:tc>
        <w:tc>
          <w:tcPr>
            <w:tcW w:w="9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5 090</w:t>
            </w:r>
          </w:p>
        </w:tc>
        <w:tc>
          <w:tcPr>
            <w:tcW w:w="9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4 202</w:t>
            </w:r>
          </w:p>
        </w:tc>
      </w:tr>
      <w:tr w:rsidR="00B51749" w:rsidRPr="00F0732E" w:rsidTr="00447572">
        <w:trPr>
          <w:trHeight w:val="480"/>
        </w:trPr>
        <w:tc>
          <w:tcPr>
            <w:tcW w:w="397" w:type="dxa"/>
            <w:vMerge/>
            <w:tcBorders>
              <w:top w:val="nil"/>
              <w:left w:val="single" w:sz="4" w:space="0" w:color="auto"/>
              <w:bottom w:val="single" w:sz="4" w:space="0" w:color="auto"/>
              <w:right w:val="single" w:sz="4" w:space="0" w:color="auto"/>
            </w:tcBorders>
            <w:shd w:val="clear" w:color="auto" w:fill="BFBFBF"/>
            <w:vAlign w:val="center"/>
            <w:hideMark/>
          </w:tcPr>
          <w:p w:rsidR="00B51749" w:rsidRPr="00F0732E" w:rsidRDefault="00B51749" w:rsidP="00447572">
            <w:pPr>
              <w:rPr>
                <w:rFonts w:eastAsia="Times New Roman" w:cs="Arial"/>
                <w:b/>
                <w:bCs/>
                <w:sz w:val="28"/>
                <w:szCs w:val="28"/>
                <w:lang w:eastAsia="sk-SK"/>
              </w:rPr>
            </w:pPr>
          </w:p>
        </w:tc>
        <w:tc>
          <w:tcPr>
            <w:tcW w:w="1682" w:type="dxa"/>
            <w:tcBorders>
              <w:top w:val="nil"/>
              <w:left w:val="nil"/>
              <w:bottom w:val="single" w:sz="4" w:space="0" w:color="auto"/>
              <w:right w:val="single" w:sz="4" w:space="0" w:color="auto"/>
            </w:tcBorders>
            <w:shd w:val="clear" w:color="auto" w:fill="BFBFBF"/>
            <w:vAlign w:val="center"/>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Počet programov</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229</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222</w:t>
            </w:r>
          </w:p>
        </w:tc>
        <w:tc>
          <w:tcPr>
            <w:tcW w:w="102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200</w:t>
            </w:r>
          </w:p>
        </w:tc>
        <w:tc>
          <w:tcPr>
            <w:tcW w:w="9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112</w:t>
            </w:r>
          </w:p>
        </w:tc>
        <w:tc>
          <w:tcPr>
            <w:tcW w:w="960" w:type="dxa"/>
            <w:tcBorders>
              <w:top w:val="nil"/>
              <w:left w:val="nil"/>
              <w:bottom w:val="single" w:sz="4" w:space="0" w:color="auto"/>
              <w:right w:val="single" w:sz="4" w:space="0" w:color="auto"/>
            </w:tcBorders>
            <w:shd w:val="clear" w:color="auto" w:fill="BFBFBF"/>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167</w:t>
            </w:r>
          </w:p>
        </w:tc>
      </w:tr>
    </w:tbl>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Graf 3. 17: Počet frekventantov aktivít ďalšieho vzdelávania za posledných päť rokov</w:t>
      </w:r>
    </w:p>
    <w:p w:rsidR="00B51749" w:rsidRPr="00F0732E" w:rsidRDefault="00B51749" w:rsidP="00B51749">
      <w:pPr>
        <w:rPr>
          <w:rFonts w:cs="Calibri"/>
          <w:sz w:val="28"/>
          <w:szCs w:val="28"/>
        </w:rPr>
      </w:pPr>
      <w:r>
        <w:rPr>
          <w:noProof/>
          <w:sz w:val="28"/>
          <w:szCs w:val="28"/>
          <w:lang w:eastAsia="sk-SK"/>
        </w:rPr>
        <w:lastRenderedPageBreak/>
        <w:drawing>
          <wp:inline distT="0" distB="0" distL="0" distR="0">
            <wp:extent cx="4572000" cy="2743200"/>
            <wp:effectExtent l="0" t="0" r="0" b="0"/>
            <wp:docPr id="30" name="Graf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1749" w:rsidRPr="00F0732E" w:rsidRDefault="00B51749" w:rsidP="00B51749">
      <w:pPr>
        <w:rPr>
          <w:rFonts w:cs="Calibri"/>
          <w:sz w:val="28"/>
          <w:szCs w:val="28"/>
        </w:rPr>
      </w:pP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23" w:name="_Toc413009326"/>
      <w:r w:rsidRPr="00F0732E">
        <w:rPr>
          <w:rFonts w:ascii="Cambria" w:hAnsi="Cambria"/>
          <w:color w:val="auto"/>
        </w:rPr>
        <w:t>Ďalšie vzdelávanie na fakultách a ústavoch STU</w:t>
      </w:r>
      <w:bookmarkEnd w:id="23"/>
    </w:p>
    <w:p w:rsidR="00B51749" w:rsidRPr="00F0732E" w:rsidRDefault="00B51749" w:rsidP="00B51749">
      <w:pPr>
        <w:rPr>
          <w:color w:val="FF0000"/>
          <w:sz w:val="28"/>
          <w:szCs w:val="28"/>
        </w:rPr>
      </w:pPr>
    </w:p>
    <w:p w:rsidR="00B51749" w:rsidRPr="00F0732E" w:rsidRDefault="00B51749" w:rsidP="00B51749">
      <w:pPr>
        <w:rPr>
          <w:rFonts w:cs="Calibri"/>
          <w:b/>
          <w:sz w:val="28"/>
          <w:szCs w:val="28"/>
        </w:rPr>
      </w:pPr>
      <w:r w:rsidRPr="00F0732E">
        <w:rPr>
          <w:rFonts w:cs="Calibri"/>
          <w:sz w:val="28"/>
          <w:szCs w:val="28"/>
        </w:rPr>
        <w:t xml:space="preserve">V akademickom roku 2013/2014 prebiehali aktivity ďalšieho vzdelávania hlavne na fakultách STU. Aktivity ďalšieho vzdelávania sú na fakultách rozdelené na akreditované a neakreditované programy. Programy sú akreditované Ministerstvom školstva, vedy, výskumu a športu SR a ďalšími subjektmi, ako sú Národný inšpektorát práce na FEI STU a, FIBAA TU WIEN na ICV. Spolu sa uskutočnilo v hodnotenom období </w:t>
      </w:r>
      <w:r w:rsidRPr="00F0732E">
        <w:rPr>
          <w:rFonts w:cs="Calibri"/>
          <w:b/>
          <w:sz w:val="28"/>
          <w:szCs w:val="28"/>
        </w:rPr>
        <w:t>32 akreditovaných programov.</w:t>
      </w:r>
    </w:p>
    <w:p w:rsidR="00B51749" w:rsidRPr="00F0732E" w:rsidRDefault="00B51749" w:rsidP="00B51749">
      <w:pPr>
        <w:rPr>
          <w:rFonts w:cs="Calibri"/>
          <w:sz w:val="28"/>
          <w:szCs w:val="28"/>
        </w:rPr>
      </w:pPr>
      <w:r w:rsidRPr="00F0732E">
        <w:rPr>
          <w:rFonts w:cs="Calibri"/>
          <w:sz w:val="28"/>
          <w:szCs w:val="28"/>
        </w:rPr>
        <w:t>Akreditované programy sú končené väčšinou skúškami a absolventi dostávajú Osvedčenie o absolvovaní vzdelávacej aktivity celoživotného vzdelávania, ktorý vydáva STU.</w:t>
      </w:r>
    </w:p>
    <w:p w:rsidR="00B51749" w:rsidRPr="00F0732E" w:rsidRDefault="00B51749" w:rsidP="00B51749">
      <w:pPr>
        <w:rPr>
          <w:rFonts w:cs="Calibri"/>
          <w:sz w:val="28"/>
          <w:szCs w:val="28"/>
        </w:rPr>
      </w:pPr>
      <w:r w:rsidRPr="00F0732E">
        <w:rPr>
          <w:rFonts w:cs="Calibri"/>
          <w:sz w:val="28"/>
          <w:szCs w:val="28"/>
        </w:rPr>
        <w:t xml:space="preserve">Oveľa väčšie zastúpenie mali </w:t>
      </w:r>
      <w:r w:rsidRPr="00F0732E">
        <w:rPr>
          <w:rFonts w:cs="Calibri"/>
          <w:b/>
          <w:sz w:val="28"/>
          <w:szCs w:val="28"/>
        </w:rPr>
        <w:t>neakreditované aktivity – 135 programov</w:t>
      </w:r>
      <w:r w:rsidRPr="00F0732E">
        <w:rPr>
          <w:rFonts w:cs="Calibri"/>
          <w:sz w:val="28"/>
          <w:szCs w:val="28"/>
        </w:rPr>
        <w:t>, pričom účastníci väčšinou po ukončení programu získavali osvedčenie o absolvovaní, vydávané pracoviskom garantujúcim program.</w:t>
      </w:r>
    </w:p>
    <w:p w:rsidR="00B51749" w:rsidRPr="00F0732E" w:rsidRDefault="00B51749" w:rsidP="00B51749">
      <w:pPr>
        <w:pStyle w:val="Nzov"/>
        <w:jc w:val="both"/>
        <w:rPr>
          <w:rFonts w:ascii="Cambria" w:hAnsi="Cambria" w:cs="Calibri"/>
          <w:sz w:val="28"/>
          <w:szCs w:val="28"/>
        </w:rPr>
      </w:pPr>
      <w:r w:rsidRPr="00F0732E">
        <w:rPr>
          <w:rFonts w:ascii="Cambria" w:hAnsi="Cambria" w:cs="Calibri"/>
          <w:sz w:val="28"/>
          <w:szCs w:val="28"/>
        </w:rPr>
        <w:t xml:space="preserve">Mnohé z aktivít celoživotného vzdelávania na STU boli realizované na základe požiadaviek z praxe (a dlhodobej spolupráce garantujúceho pracoviska s konkrétnym podnikom), čím boli programy často pripravené presne podľa požiadaviek zadávateľa. </w:t>
      </w:r>
    </w:p>
    <w:p w:rsidR="00B51749" w:rsidRPr="00F0732E" w:rsidRDefault="00B51749" w:rsidP="00B51749">
      <w:pPr>
        <w:pStyle w:val="Nzov"/>
        <w:jc w:val="both"/>
        <w:rPr>
          <w:rFonts w:ascii="Cambria" w:hAnsi="Cambria" w:cs="Calibri"/>
          <w:sz w:val="28"/>
          <w:szCs w:val="28"/>
        </w:rPr>
      </w:pPr>
      <w:r w:rsidRPr="00F0732E">
        <w:rPr>
          <w:rFonts w:ascii="Cambria" w:hAnsi="Cambria" w:cs="Calibri"/>
          <w:sz w:val="28"/>
          <w:szCs w:val="28"/>
        </w:rPr>
        <w:t xml:space="preserve">Okrem toho boli takmer na všetkých fakultách zorganizované kurzy fyziky a kurzy stredoškolskej matematiky predovšetkým pre záujemcov z novoprijatých študentov prvých ročníkov na prvom stupni štúdia boli jednou z možností ako študentom pomôcť úspešne zvládnuť hlavne v prvých ročníkoch náročné štúdium na vysokej škole technického zamerania. </w:t>
      </w:r>
    </w:p>
    <w:p w:rsidR="00B51749" w:rsidRPr="00F0732E" w:rsidRDefault="00B51749" w:rsidP="00B51749">
      <w:pPr>
        <w:pStyle w:val="Nzov"/>
        <w:jc w:val="both"/>
        <w:rPr>
          <w:rFonts w:ascii="Cambria" w:hAnsi="Cambria"/>
          <w:b/>
          <w:sz w:val="28"/>
          <w:szCs w:val="28"/>
        </w:rPr>
      </w:pPr>
      <w:r w:rsidRPr="00F0732E">
        <w:rPr>
          <w:rFonts w:ascii="Cambria" w:hAnsi="Cambria"/>
          <w:b/>
          <w:sz w:val="28"/>
          <w:szCs w:val="28"/>
        </w:rPr>
        <w:lastRenderedPageBreak/>
        <w:t>Prehľad ponuky kurzov:</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SvF – matematika, fyzika a deskriptívna geometria,</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SjF – matematika a fyzika,</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FEI – online kurzy z matematiky,</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FCHPT – matematika, fyzika a chémia,</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FA – kurzy kreslenia a modelovania,</w:t>
      </w:r>
    </w:p>
    <w:p w:rsidR="00B51749" w:rsidRPr="00F0732E" w:rsidRDefault="00B51749" w:rsidP="00B51749">
      <w:pPr>
        <w:pStyle w:val="Nzov"/>
        <w:jc w:val="both"/>
        <w:rPr>
          <w:rFonts w:ascii="Cambria" w:hAnsi="Cambria"/>
          <w:sz w:val="28"/>
          <w:szCs w:val="28"/>
        </w:rPr>
      </w:pPr>
      <w:r w:rsidRPr="00F0732E">
        <w:rPr>
          <w:rFonts w:ascii="Cambria" w:hAnsi="Cambria"/>
          <w:sz w:val="28"/>
          <w:szCs w:val="28"/>
        </w:rPr>
        <w:t>MTF – matematika a fyzika.</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Pre zamestnancov STU, študentov doktorandského štúdia, ako i pre verejnosť boli na fakultách ponúkané aj jazykové kurzy. </w:t>
      </w:r>
    </w:p>
    <w:p w:rsidR="00B51749" w:rsidRPr="00F0732E" w:rsidRDefault="00B51749" w:rsidP="00B51749">
      <w:pPr>
        <w:rPr>
          <w:color w:val="FF0000"/>
          <w:sz w:val="28"/>
          <w:szCs w:val="28"/>
        </w:rPr>
      </w:pPr>
      <w:r w:rsidRPr="00F0732E">
        <w:rPr>
          <w:rFonts w:cs="Calibri"/>
          <w:sz w:val="28"/>
          <w:szCs w:val="28"/>
        </w:rPr>
        <w:t>Spokojnosť frekventantov s realizáciou a zabezpečením kurzov sa väčšinou zisťovala pomocou anonymných dotazníkov. Na základe ich vyhodnotenia možno konštatovať, že frekventanti boli spokojní tak s personálnym zabezpečením, ako aj s materiálnym zabezpečením aktivít CŽV na STU.</w:t>
      </w: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24" w:name="_Toc413009327"/>
      <w:r w:rsidRPr="00F0732E">
        <w:rPr>
          <w:rFonts w:ascii="Cambria" w:hAnsi="Cambria"/>
          <w:color w:val="auto"/>
        </w:rPr>
        <w:t>Aktivity Inštitútu celoživotného vzdelávania na STU</w:t>
      </w:r>
      <w:bookmarkEnd w:id="24"/>
    </w:p>
    <w:p w:rsidR="00B51749" w:rsidRPr="00F0732E" w:rsidRDefault="00B51749" w:rsidP="00B51749">
      <w:pPr>
        <w:tabs>
          <w:tab w:val="left" w:pos="567"/>
        </w:tabs>
        <w:rPr>
          <w:color w:val="FF0000"/>
          <w:sz w:val="28"/>
          <w:szCs w:val="28"/>
        </w:rPr>
      </w:pPr>
    </w:p>
    <w:p w:rsidR="00B51749" w:rsidRPr="00F0732E" w:rsidRDefault="00B51749" w:rsidP="00B51749">
      <w:pPr>
        <w:tabs>
          <w:tab w:val="left" w:pos="567"/>
        </w:tabs>
        <w:rPr>
          <w:rFonts w:cs="Calibri"/>
          <w:sz w:val="28"/>
          <w:szCs w:val="28"/>
        </w:rPr>
      </w:pPr>
      <w:r w:rsidRPr="00F0732E">
        <w:rPr>
          <w:rFonts w:cs="Calibri"/>
          <w:sz w:val="28"/>
          <w:szCs w:val="28"/>
        </w:rPr>
        <w:t xml:space="preserve">ICV na STU je z hľadiska počtu frekventantov a absolventov jedným z najväčších inštitútov ďalšieho univerzitného vzdelávania na Slovensku. ICV je členom Slovenskej akademickej asociácie pre celoživotné vzdelávanie (SAACV) a siete „European University Life-long Learning Network“. </w:t>
      </w:r>
    </w:p>
    <w:p w:rsidR="00B51749" w:rsidRPr="00F0732E" w:rsidRDefault="00B51749" w:rsidP="00B51749">
      <w:pPr>
        <w:tabs>
          <w:tab w:val="left" w:pos="567"/>
        </w:tabs>
        <w:rPr>
          <w:rFonts w:cs="Calibri"/>
          <w:sz w:val="28"/>
          <w:szCs w:val="28"/>
        </w:rPr>
      </w:pPr>
      <w:r w:rsidRPr="00F0732E">
        <w:rPr>
          <w:rFonts w:cs="Calibri"/>
          <w:sz w:val="28"/>
          <w:szCs w:val="28"/>
        </w:rPr>
        <w:t>ICV sa skladá z týchto súčastí: Oddelenie ďalšieho vzdelávania, Oddelenie jazykovej prípravy (Jazykové centrum a Francúzske centrum) a Univerzita tretieho veku.</w:t>
      </w:r>
    </w:p>
    <w:p w:rsidR="00B51749" w:rsidRPr="00F0732E" w:rsidRDefault="00B51749" w:rsidP="00B51749">
      <w:pPr>
        <w:tabs>
          <w:tab w:val="left" w:pos="709"/>
        </w:tabs>
        <w:rPr>
          <w:rFonts w:cs="Calibri"/>
          <w:b/>
          <w:sz w:val="28"/>
          <w:szCs w:val="28"/>
        </w:rPr>
      </w:pPr>
    </w:p>
    <w:p w:rsidR="00B51749" w:rsidRPr="00F0732E" w:rsidRDefault="00B51749" w:rsidP="00B51749">
      <w:pPr>
        <w:tabs>
          <w:tab w:val="left" w:pos="709"/>
        </w:tabs>
        <w:rPr>
          <w:rFonts w:cs="Calibri"/>
          <w:b/>
          <w:sz w:val="28"/>
          <w:szCs w:val="28"/>
        </w:rPr>
      </w:pPr>
      <w:r w:rsidRPr="00F0732E">
        <w:rPr>
          <w:rFonts w:cs="Calibri"/>
          <w:b/>
          <w:sz w:val="28"/>
          <w:szCs w:val="28"/>
        </w:rPr>
        <w:t>Oddelenie ďalšieho vzdelávania (OĎV)</w:t>
      </w:r>
    </w:p>
    <w:p w:rsidR="00B51749" w:rsidRPr="00F0732E" w:rsidRDefault="00B51749" w:rsidP="00B51749">
      <w:pPr>
        <w:tabs>
          <w:tab w:val="left" w:pos="567"/>
        </w:tabs>
        <w:rPr>
          <w:rFonts w:cs="Calibri"/>
          <w:sz w:val="28"/>
          <w:szCs w:val="28"/>
        </w:rPr>
      </w:pPr>
      <w:r w:rsidRPr="00F0732E">
        <w:rPr>
          <w:rFonts w:cs="Calibri"/>
          <w:sz w:val="28"/>
          <w:szCs w:val="28"/>
        </w:rPr>
        <w:t xml:space="preserve">V akademickom roku 2013/14 OĎV organizačne zabezpečovalo </w:t>
      </w:r>
      <w:r w:rsidRPr="00F0732E">
        <w:rPr>
          <w:rFonts w:cs="Calibri"/>
          <w:b/>
          <w:sz w:val="28"/>
          <w:szCs w:val="28"/>
        </w:rPr>
        <w:t>akreditované 2-ročné kombinované dištančné vzdelávanie „Professional MBA Automotive Industry“ v angličtine</w:t>
      </w:r>
      <w:r w:rsidRPr="00F0732E">
        <w:rPr>
          <w:rFonts w:cs="Calibri"/>
          <w:sz w:val="28"/>
          <w:szCs w:val="28"/>
        </w:rPr>
        <w:t xml:space="preserve"> podporované e-learningovým prostredím, ktorého študijný program bol v roku 2009 akreditovaný federáciou FIBAA a v roku 2013 reakreditovaný do roku 2020. Úspešné štúdium bolo pripravené za pomoci už ukončeného projektu cezhraničnej spolupráce Slovenská republika – Rakúsko 2007 – 2013 (partnermi boli Auto Cluster Vienna Region (ACVR) a Technische Universität Wien, za ktorú je partnerom Inštitút celoživotného vzdelávania „CEC – TU Vienna“). Každoročne v globálnom prostredí ponúkaný študijný program začína 13 až 23 študujúcich, obvykle zo 7 až 8 štátov. V rokoch 2009 až 2012 bolo prijatých spolu 69 študujúcich, z ktorých 53 ukončilo dvojročné štúdium. </w:t>
      </w:r>
      <w:r w:rsidRPr="00F0732E">
        <w:rPr>
          <w:rFonts w:cs="Calibri"/>
          <w:b/>
          <w:sz w:val="28"/>
          <w:szCs w:val="28"/>
        </w:rPr>
        <w:t>V akademickom roku 2013/14 bolo promovaných 16 frekventantov.</w:t>
      </w:r>
      <w:r w:rsidRPr="00F0732E">
        <w:rPr>
          <w:rFonts w:cs="Calibri"/>
          <w:sz w:val="28"/>
          <w:szCs w:val="28"/>
        </w:rPr>
        <w:t xml:space="preserve"> Do 5-tej skupiny dvojročného štúdia (2013 až 2015) bolo prijatých 13 študujúcich zo siedmich krajín. Význam globálneho štúdia </w:t>
      </w:r>
      <w:r w:rsidRPr="00F0732E">
        <w:rPr>
          <w:rFonts w:cs="Calibri"/>
          <w:sz w:val="28"/>
          <w:szCs w:val="28"/>
        </w:rPr>
        <w:lastRenderedPageBreak/>
        <w:t>je aj v tom, že STU vytvorilo podmienky pre spoluprácu s TU Viedeň na programe, v ktorom pôsobí viac ako 50 lektorov hlavne z Rakúska a Slovenska a medzi 96 študujúcimi boli a sú manažéri (technici, obchodníci, bankári) významných výrobných i nevýrobných globálnych spoločností 23 štátov Ázie, Európy, Afriky a Severnej Ameriky</w:t>
      </w:r>
      <w:r w:rsidRPr="00F0732E">
        <w:rPr>
          <w:rFonts w:cs="Calibri"/>
          <w:b/>
          <w:sz w:val="28"/>
          <w:szCs w:val="28"/>
        </w:rPr>
        <w:t xml:space="preserve">. </w:t>
      </w:r>
      <w:r w:rsidRPr="00F0732E">
        <w:rPr>
          <w:rFonts w:cs="Calibri"/>
          <w:sz w:val="28"/>
          <w:szCs w:val="28"/>
        </w:rPr>
        <w:t>V multinárodnom prostredí sa presadzujú aj zástupcovia zo Slovenska – doteraz ich je 21, viac frekventantov vykazujeme iba z Rakúska 32.</w:t>
      </w:r>
    </w:p>
    <w:p w:rsidR="00B51749" w:rsidRPr="00F0732E" w:rsidRDefault="00B51749" w:rsidP="00B51749">
      <w:pPr>
        <w:rPr>
          <w:rFonts w:cs="Calibri"/>
          <w:sz w:val="28"/>
          <w:szCs w:val="28"/>
        </w:rPr>
      </w:pPr>
    </w:p>
    <w:p w:rsidR="00B51749" w:rsidRPr="00F0732E" w:rsidRDefault="00B51749" w:rsidP="00B51749">
      <w:pPr>
        <w:tabs>
          <w:tab w:val="left" w:pos="709"/>
        </w:tabs>
        <w:rPr>
          <w:rFonts w:cs="Calibri"/>
          <w:b/>
          <w:sz w:val="28"/>
          <w:szCs w:val="28"/>
        </w:rPr>
      </w:pPr>
      <w:r w:rsidRPr="00F0732E">
        <w:rPr>
          <w:rFonts w:cs="Calibri"/>
          <w:b/>
          <w:sz w:val="28"/>
          <w:szCs w:val="28"/>
        </w:rPr>
        <w:t>Jazykové centrum (JC)</w:t>
      </w:r>
    </w:p>
    <w:p w:rsidR="00B51749" w:rsidRPr="00F0732E" w:rsidRDefault="00B51749" w:rsidP="00B51749">
      <w:pPr>
        <w:rPr>
          <w:rFonts w:cs="Calibri"/>
          <w:sz w:val="28"/>
          <w:szCs w:val="28"/>
        </w:rPr>
      </w:pPr>
      <w:r w:rsidRPr="00F0732E">
        <w:rPr>
          <w:rFonts w:cs="Calibri"/>
          <w:sz w:val="28"/>
          <w:szCs w:val="28"/>
        </w:rPr>
        <w:t>Jazykové centrum STU zorganizovalo v akademickom roku 2013/14 18 kurzov angličtiny a nemčiny na úrovni začiatočníci až pokročilí. Kurzy prebiehali polointenzívnou formou, t. j. 2x2 h do týždňa spolu po 60 h a dva intenzívne konverzačné kurzy angličtiny a nemčiny. Po premiestnení celého centra z priestorov FCHPT do renovovaných priestorov budovy Rektorátu STU sa dá očakávať rozšírenie ponuky aj o „ranné“ vyučovanie, čo priestory a lektori umožňujú.</w:t>
      </w:r>
    </w:p>
    <w:p w:rsidR="00B51749" w:rsidRPr="00F0732E" w:rsidRDefault="00B51749" w:rsidP="00B51749">
      <w:pPr>
        <w:rPr>
          <w:rFonts w:cs="Calibri"/>
          <w:sz w:val="28"/>
          <w:szCs w:val="28"/>
        </w:rPr>
      </w:pPr>
    </w:p>
    <w:p w:rsidR="00B51749" w:rsidRPr="00F0732E" w:rsidRDefault="00B51749" w:rsidP="00B51749">
      <w:pPr>
        <w:tabs>
          <w:tab w:val="left" w:pos="709"/>
        </w:tabs>
        <w:rPr>
          <w:rFonts w:cs="Calibri"/>
          <w:b/>
          <w:sz w:val="28"/>
          <w:szCs w:val="28"/>
        </w:rPr>
      </w:pPr>
      <w:r w:rsidRPr="00F0732E">
        <w:rPr>
          <w:rFonts w:cs="Calibri"/>
          <w:b/>
          <w:sz w:val="28"/>
          <w:szCs w:val="28"/>
        </w:rPr>
        <w:t>Francúzske centrum (FC)</w:t>
      </w:r>
    </w:p>
    <w:p w:rsidR="00B51749" w:rsidRPr="00F0732E" w:rsidRDefault="00B51749" w:rsidP="00B51749">
      <w:pPr>
        <w:rPr>
          <w:rFonts w:cs="Calibri"/>
          <w:sz w:val="28"/>
          <w:szCs w:val="28"/>
        </w:rPr>
      </w:pPr>
      <w:r w:rsidRPr="00F0732E">
        <w:rPr>
          <w:rFonts w:cs="Calibri"/>
          <w:sz w:val="28"/>
          <w:szCs w:val="28"/>
        </w:rPr>
        <w:t>Francúzske centrum STU navštevovalo spolu 29 frekventantov. V zimnom a letnom semestri boli otvorené 2 a 3 kurzy. V oboch semestroch boli najviac zaplnené kurzy pre začiatočníkov.</w:t>
      </w:r>
    </w:p>
    <w:p w:rsidR="00B51749" w:rsidRPr="00F0732E" w:rsidRDefault="00B51749" w:rsidP="00B51749">
      <w:pPr>
        <w:rPr>
          <w:rFonts w:cs="Calibri"/>
          <w:sz w:val="28"/>
          <w:szCs w:val="28"/>
        </w:rPr>
      </w:pPr>
    </w:p>
    <w:p w:rsidR="00B51749" w:rsidRPr="00F0732E" w:rsidRDefault="00B51749" w:rsidP="00B51749">
      <w:pPr>
        <w:tabs>
          <w:tab w:val="left" w:pos="567"/>
          <w:tab w:val="left" w:pos="709"/>
        </w:tabs>
        <w:rPr>
          <w:rFonts w:cs="Calibri"/>
          <w:b/>
          <w:sz w:val="28"/>
          <w:szCs w:val="28"/>
        </w:rPr>
      </w:pPr>
      <w:r w:rsidRPr="00F0732E">
        <w:rPr>
          <w:rFonts w:cs="Calibri"/>
          <w:b/>
          <w:bCs/>
          <w:sz w:val="28"/>
          <w:szCs w:val="28"/>
        </w:rPr>
        <w:t>Univerzita tretieho veku (UTV)</w:t>
      </w:r>
    </w:p>
    <w:p w:rsidR="00B51749" w:rsidRPr="00F0732E" w:rsidRDefault="00B51749" w:rsidP="00B51749">
      <w:pPr>
        <w:tabs>
          <w:tab w:val="left" w:pos="-567"/>
        </w:tabs>
        <w:rPr>
          <w:rFonts w:cs="Calibri"/>
          <w:sz w:val="28"/>
          <w:szCs w:val="28"/>
        </w:rPr>
      </w:pPr>
      <w:r w:rsidRPr="00F0732E">
        <w:rPr>
          <w:rFonts w:cs="Calibri"/>
          <w:snapToGrid w:val="0"/>
          <w:sz w:val="28"/>
          <w:szCs w:val="28"/>
        </w:rPr>
        <w:t xml:space="preserve">Vzdelávacie aktivity v rámci </w:t>
      </w:r>
      <w:r w:rsidRPr="00F0732E">
        <w:rPr>
          <w:rFonts w:cs="Calibri"/>
          <w:bCs/>
          <w:sz w:val="28"/>
          <w:szCs w:val="28"/>
        </w:rPr>
        <w:t>UTV prebiehali</w:t>
      </w:r>
      <w:r w:rsidRPr="00F0732E">
        <w:rPr>
          <w:rFonts w:cs="Calibri"/>
          <w:snapToGrid w:val="0"/>
          <w:sz w:val="28"/>
          <w:szCs w:val="28"/>
        </w:rPr>
        <w:t xml:space="preserve"> podľa harmonogramu zverejneného v Študijnom programe UTV STU v Bratislave. Hlavné formy výučby zostali zachované: </w:t>
      </w:r>
      <w:r w:rsidRPr="00F0732E">
        <w:rPr>
          <w:rFonts w:cs="Calibri"/>
          <w:bCs/>
          <w:snapToGrid w:val="0"/>
          <w:sz w:val="28"/>
          <w:szCs w:val="28"/>
        </w:rPr>
        <w:t xml:space="preserve">prednášky, </w:t>
      </w:r>
      <w:r w:rsidRPr="00F0732E">
        <w:rPr>
          <w:rFonts w:cs="Calibri"/>
          <w:snapToGrid w:val="0"/>
          <w:sz w:val="28"/>
          <w:szCs w:val="28"/>
        </w:rPr>
        <w:t xml:space="preserve">spojené s diskusiou (v 1. ročníku a na jedenástich študijných odboroch) a praktická výučba (doplnená konzultáciami) na počítačových študijných odboroch. Ťažiskom praktickej výučby na študijnom odbore „Praktické využitie počítačov“ bola opäť samostatná práca študentov – seniorov, podporovaná prednáškami a konzultáciami, ktorá vyústila do vypracovania zaujímavých počítačových projektov (aplikácií počítačových programov pre vlastné využitie frekventantmi) prezentovaných 18. 6. 2014. </w:t>
      </w:r>
    </w:p>
    <w:p w:rsidR="00B51749" w:rsidRPr="00F0732E" w:rsidRDefault="00B51749" w:rsidP="00B51749">
      <w:pPr>
        <w:tabs>
          <w:tab w:val="left" w:pos="-567"/>
        </w:tabs>
        <w:rPr>
          <w:rFonts w:cs="Calibri"/>
          <w:snapToGrid w:val="0"/>
          <w:sz w:val="28"/>
          <w:szCs w:val="28"/>
        </w:rPr>
      </w:pPr>
      <w:r w:rsidRPr="00F0732E">
        <w:rPr>
          <w:rFonts w:cs="Calibri"/>
          <w:snapToGrid w:val="0"/>
          <w:sz w:val="28"/>
          <w:szCs w:val="28"/>
        </w:rPr>
        <w:t xml:space="preserve">Celkove bolo v  akademickom roku 2013/2014 realizovaných spolu 420 hodín prednášok spojených s diskusiami, ktoré zabezpečovalo 85 prednášateľov. Praktická výučba bola realizovaná v rozsahu 378 hodín, 60 hodín bolo venovaných konzultáciám, viedli ich 7 lektori. </w:t>
      </w:r>
    </w:p>
    <w:p w:rsidR="00B51749" w:rsidRPr="00F0732E" w:rsidRDefault="00B51749" w:rsidP="00B51749">
      <w:pPr>
        <w:tabs>
          <w:tab w:val="left" w:pos="-567"/>
        </w:tabs>
        <w:rPr>
          <w:rFonts w:cs="Calibri"/>
          <w:snapToGrid w:val="0"/>
          <w:sz w:val="28"/>
          <w:szCs w:val="28"/>
        </w:rPr>
      </w:pPr>
      <w:r w:rsidRPr="00F0732E">
        <w:rPr>
          <w:rFonts w:cs="Calibri"/>
          <w:snapToGrid w:val="0"/>
          <w:sz w:val="28"/>
          <w:szCs w:val="28"/>
        </w:rPr>
        <w:t xml:space="preserve">V hodnotenom akademickom roku študovalo na UTV 747 frekventantov (vo všeobecnom 1. ročníku a v 11-tich dvoj- a trojročných kurzoch). </w:t>
      </w:r>
    </w:p>
    <w:p w:rsidR="00B51749" w:rsidRPr="00F0732E" w:rsidRDefault="00B51749" w:rsidP="00B51749">
      <w:pPr>
        <w:tabs>
          <w:tab w:val="left" w:pos="-567"/>
        </w:tabs>
        <w:rPr>
          <w:rFonts w:cs="Calibri"/>
          <w:snapToGrid w:val="0"/>
          <w:sz w:val="28"/>
          <w:szCs w:val="28"/>
        </w:rPr>
      </w:pPr>
      <w:r w:rsidRPr="00F0732E">
        <w:rPr>
          <w:rFonts w:cs="Calibri"/>
          <w:b/>
          <w:snapToGrid w:val="0"/>
          <w:sz w:val="28"/>
          <w:szCs w:val="28"/>
        </w:rPr>
        <w:t>Počas slávnostného aktu 13. 6. 2014 boli udelené „Osvedčenia o absolvovaní UTV“ 132 absolventom.</w:t>
      </w:r>
      <w:r w:rsidRPr="00F0732E">
        <w:rPr>
          <w:rFonts w:cs="Calibri"/>
          <w:snapToGrid w:val="0"/>
          <w:sz w:val="28"/>
          <w:szCs w:val="28"/>
        </w:rPr>
        <w:t xml:space="preserve"> Ukončením akademického roka </w:t>
      </w:r>
      <w:r w:rsidRPr="00F0732E">
        <w:rPr>
          <w:rFonts w:cs="Calibri"/>
          <w:snapToGrid w:val="0"/>
          <w:sz w:val="28"/>
          <w:szCs w:val="28"/>
        </w:rPr>
        <w:lastRenderedPageBreak/>
        <w:t xml:space="preserve">2013/2014 zavŕšila Univerzita tretieho veku pri STU už šestnásty rok svojej existencie.  </w:t>
      </w:r>
    </w:p>
    <w:p w:rsidR="00B51749" w:rsidRPr="00F0732E" w:rsidRDefault="00B51749" w:rsidP="00B51749">
      <w:pPr>
        <w:tabs>
          <w:tab w:val="left" w:pos="-567"/>
        </w:tabs>
        <w:rPr>
          <w:rFonts w:cs="Calibri"/>
          <w:sz w:val="28"/>
          <w:szCs w:val="28"/>
        </w:rPr>
      </w:pPr>
    </w:p>
    <w:p w:rsidR="00B51749" w:rsidRPr="00F0732E" w:rsidRDefault="00B51749" w:rsidP="00B51749">
      <w:pPr>
        <w:tabs>
          <w:tab w:val="left" w:pos="567"/>
        </w:tabs>
        <w:rPr>
          <w:rFonts w:cs="Calibri"/>
          <w:sz w:val="28"/>
          <w:szCs w:val="28"/>
        </w:rPr>
      </w:pPr>
      <w:r w:rsidRPr="00F0732E">
        <w:rPr>
          <w:rFonts w:cs="Calibri"/>
          <w:b/>
          <w:sz w:val="28"/>
          <w:szCs w:val="28"/>
        </w:rPr>
        <w:t>Doplňujúce pedagogické štúdium v akademickom roku 2013/2014</w:t>
      </w:r>
    </w:p>
    <w:p w:rsidR="00B51749" w:rsidRPr="00F0732E" w:rsidRDefault="00B51749" w:rsidP="00B51749">
      <w:pPr>
        <w:rPr>
          <w:rFonts w:cs="Calibri"/>
          <w:b/>
          <w:sz w:val="28"/>
          <w:szCs w:val="28"/>
        </w:rPr>
      </w:pPr>
      <w:r w:rsidRPr="00F0732E">
        <w:rPr>
          <w:rFonts w:cs="Calibri"/>
          <w:sz w:val="28"/>
          <w:szCs w:val="28"/>
        </w:rPr>
        <w:t xml:space="preserve">V akademickom roku 2013/2014 prebiehalo štvorsemestrálne </w:t>
      </w:r>
      <w:r w:rsidRPr="00F0732E">
        <w:rPr>
          <w:rFonts w:cs="Calibri"/>
          <w:b/>
          <w:sz w:val="28"/>
          <w:szCs w:val="28"/>
        </w:rPr>
        <w:t>doplňujúce pedagogické štúdium:</w:t>
      </w:r>
    </w:p>
    <w:p w:rsidR="00B51749" w:rsidRPr="00F0732E" w:rsidRDefault="00B51749" w:rsidP="00B51749">
      <w:pPr>
        <w:pStyle w:val="Odsekzoznamu"/>
        <w:numPr>
          <w:ilvl w:val="0"/>
          <w:numId w:val="2"/>
        </w:numPr>
        <w:spacing w:after="0" w:line="240" w:lineRule="auto"/>
        <w:rPr>
          <w:rFonts w:ascii="Cambria" w:hAnsi="Cambria" w:cs="Calibri"/>
          <w:sz w:val="28"/>
          <w:szCs w:val="28"/>
        </w:rPr>
      </w:pPr>
      <w:r w:rsidRPr="00F0732E">
        <w:rPr>
          <w:rFonts w:ascii="Cambria" w:hAnsi="Cambria" w:cs="Calibri"/>
          <w:b/>
          <w:sz w:val="28"/>
          <w:szCs w:val="28"/>
        </w:rPr>
        <w:t>v súbežnej forme</w:t>
      </w:r>
      <w:r w:rsidRPr="00F0732E">
        <w:rPr>
          <w:rFonts w:ascii="Cambria" w:hAnsi="Cambria" w:cs="Calibri"/>
          <w:sz w:val="28"/>
          <w:szCs w:val="28"/>
        </w:rPr>
        <w:t xml:space="preserve"> pre študentov 2. stupňa vysokoškolského štúdia všetkých fakúlt STU (ukončilo 12  študentov ).</w:t>
      </w:r>
    </w:p>
    <w:p w:rsidR="00B51749" w:rsidRPr="00F0732E" w:rsidRDefault="00B51749" w:rsidP="00B51749">
      <w:pPr>
        <w:pStyle w:val="Odsekzoznamu"/>
        <w:numPr>
          <w:ilvl w:val="0"/>
          <w:numId w:val="2"/>
        </w:numPr>
        <w:spacing w:after="0" w:line="240" w:lineRule="auto"/>
        <w:rPr>
          <w:rFonts w:ascii="Cambria" w:hAnsi="Cambria" w:cs="Calibri"/>
          <w:sz w:val="28"/>
          <w:szCs w:val="28"/>
        </w:rPr>
      </w:pPr>
      <w:r w:rsidRPr="00F0732E">
        <w:rPr>
          <w:rFonts w:ascii="Cambria" w:hAnsi="Cambria" w:cs="Calibri"/>
          <w:b/>
          <w:sz w:val="28"/>
          <w:szCs w:val="28"/>
        </w:rPr>
        <w:t xml:space="preserve">v následnej forme </w:t>
      </w:r>
      <w:r w:rsidRPr="00F0732E">
        <w:rPr>
          <w:rFonts w:ascii="Cambria" w:hAnsi="Cambria" w:cs="Calibri"/>
          <w:sz w:val="28"/>
          <w:szCs w:val="28"/>
        </w:rPr>
        <w:t>(ukončilo 40 študujúcich).</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V hodnotenom roku prebehla aj akreditácia doplňujúceho pedagogického štúdia v zmysle zákona č. 317/2009 Z. z. o pedagogických zamestnancoch a odborných zamestnancoch a o zmene a doplnení niektorých zákonov v znení neskorších predpisov. Slovenská technická univerzita tak získala právo poskytovať </w:t>
      </w:r>
      <w:r w:rsidRPr="00F0732E">
        <w:rPr>
          <w:rFonts w:cs="Calibri"/>
          <w:b/>
          <w:sz w:val="28"/>
          <w:szCs w:val="28"/>
        </w:rPr>
        <w:t>doplňujúce pedagogické štúdium na výkon činnosti učiteľa profesijných predmetov</w:t>
      </w:r>
      <w:r w:rsidRPr="00F0732E">
        <w:rPr>
          <w:rFonts w:cs="Calibri"/>
          <w:sz w:val="28"/>
          <w:szCs w:val="28"/>
        </w:rPr>
        <w:t xml:space="preserve"> so zameraním na predmety nadväzujúce na všetky akreditované študijné programy STU v externej a dennej forme v rozsahu 300 hodín s dobou platnosti akreditácie do 31. decembra 2019.</w:t>
      </w: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25" w:name="_Toc413009328"/>
      <w:r w:rsidRPr="00F0732E">
        <w:rPr>
          <w:rFonts w:ascii="Cambria" w:hAnsi="Cambria"/>
          <w:color w:val="auto"/>
          <w:sz w:val="28"/>
          <w:szCs w:val="28"/>
        </w:rPr>
        <w:t>Informácie o výskumnej, umeleckej a ďalšej tvorivej činnosti STU</w:t>
      </w:r>
      <w:bookmarkEnd w:id="25"/>
    </w:p>
    <w:p w:rsidR="00B51749" w:rsidRPr="00F0732E" w:rsidRDefault="00B51749" w:rsidP="00B51749">
      <w:pPr>
        <w:rPr>
          <w:sz w:val="28"/>
          <w:szCs w:val="28"/>
          <w:lang w:eastAsia="cs-CZ"/>
        </w:rPr>
      </w:pPr>
    </w:p>
    <w:p w:rsidR="00B51749" w:rsidRDefault="00B51749" w:rsidP="00B51749">
      <w:pPr>
        <w:rPr>
          <w:sz w:val="28"/>
          <w:szCs w:val="28"/>
        </w:rPr>
      </w:pPr>
      <w:r w:rsidRPr="00F0732E">
        <w:rPr>
          <w:sz w:val="28"/>
          <w:szCs w:val="28"/>
        </w:rPr>
        <w:t xml:space="preserve">Slovenská technická univerzita aj v roku 2014 svojimi výsledkami vo vedecko-výskumnej oblasti obhájila pevné postavenie medzi poprednými výskumnými univerzitami na Slovensku. </w:t>
      </w:r>
    </w:p>
    <w:p w:rsidR="00CD5C1D" w:rsidRPr="00EB0818" w:rsidRDefault="00CD5C1D" w:rsidP="00CD5C1D">
      <w:pPr>
        <w:rPr>
          <w:sz w:val="28"/>
          <w:szCs w:val="28"/>
        </w:rPr>
      </w:pPr>
      <w:r w:rsidRPr="00EB0818">
        <w:rPr>
          <w:sz w:val="28"/>
          <w:szCs w:val="28"/>
        </w:rPr>
        <w:t xml:space="preserve">Podľa rebríčka University Ranking By Academic Performance 2014/15 je STU </w:t>
      </w:r>
      <w:r w:rsidRPr="00EB0818">
        <w:rPr>
          <w:b/>
          <w:sz w:val="28"/>
          <w:szCs w:val="28"/>
        </w:rPr>
        <w:t xml:space="preserve">najlepšou technickou školou v SR a </w:t>
      </w:r>
      <w:r w:rsidR="00120B31" w:rsidRPr="00120B31">
        <w:rPr>
          <w:b/>
          <w:sz w:val="28"/>
          <w:szCs w:val="28"/>
        </w:rPr>
        <w:t>treťou</w:t>
      </w:r>
      <w:r w:rsidRPr="00120B31">
        <w:rPr>
          <w:b/>
          <w:sz w:val="28"/>
          <w:szCs w:val="28"/>
        </w:rPr>
        <w:t xml:space="preserve"> najlepšou v ČR a SR</w:t>
      </w:r>
      <w:r w:rsidRPr="00120B31">
        <w:rPr>
          <w:sz w:val="28"/>
          <w:szCs w:val="28"/>
        </w:rPr>
        <w:t xml:space="preserve"> (STU – 1004. miesto, ČVUT Praha 542., VŠCHT Praha 881., VUT Brno 1 039.).</w:t>
      </w:r>
      <w:r w:rsidRPr="00EB0818">
        <w:rPr>
          <w:sz w:val="28"/>
          <w:szCs w:val="28"/>
        </w:rPr>
        <w:t xml:space="preserve"> Oproti predchádzajúcemu hodnoteniu (URAP 2012/13) však STU klesla v rebríčku o dve miesta.</w:t>
      </w:r>
    </w:p>
    <w:p w:rsidR="00CD5C1D" w:rsidRPr="00EB0818" w:rsidRDefault="00CD5C1D" w:rsidP="00CD5C1D">
      <w:pPr>
        <w:rPr>
          <w:color w:val="FF0000"/>
          <w:sz w:val="28"/>
          <w:szCs w:val="28"/>
        </w:rPr>
      </w:pPr>
      <w:r w:rsidRPr="00EB0818">
        <w:rPr>
          <w:sz w:val="28"/>
          <w:szCs w:val="28"/>
        </w:rPr>
        <w:t>University Ranking By Academic Performance je rebríček, ktorý hodnotí univerzity podľa ich akademického výkonu, podľa článkov v odborných časopisoch, podľa odkazov a citácii.</w:t>
      </w:r>
      <w:r w:rsidR="008F18C4" w:rsidRPr="00EB0818">
        <w:rPr>
          <w:sz w:val="28"/>
          <w:szCs w:val="28"/>
        </w:rPr>
        <w:t xml:space="preserve"> </w:t>
      </w:r>
    </w:p>
    <w:p w:rsidR="00CD5C1D" w:rsidRPr="00EB0818" w:rsidRDefault="00CD5C1D" w:rsidP="00CD5C1D">
      <w:pPr>
        <w:rPr>
          <w:sz w:val="28"/>
          <w:szCs w:val="28"/>
        </w:rPr>
      </w:pPr>
    </w:p>
    <w:p w:rsidR="00CD5C1D" w:rsidRDefault="00CD5C1D" w:rsidP="00CD5C1D">
      <w:pPr>
        <w:rPr>
          <w:b/>
          <w:sz w:val="28"/>
          <w:szCs w:val="28"/>
        </w:rPr>
      </w:pPr>
      <w:r w:rsidRPr="00EB0818">
        <w:rPr>
          <w:sz w:val="28"/>
          <w:szCs w:val="28"/>
        </w:rPr>
        <w:t xml:space="preserve">Podľa rebríčka ARRA je Slovenská technická univerzita aj naďalej </w:t>
      </w:r>
      <w:r w:rsidRPr="00EB0818">
        <w:rPr>
          <w:b/>
          <w:sz w:val="28"/>
          <w:szCs w:val="28"/>
        </w:rPr>
        <w:t>najlepšou univerzitou na Slovensku pre chemické technológie, technické a počítačové vedy.</w:t>
      </w:r>
    </w:p>
    <w:p w:rsidR="008F18C4" w:rsidRPr="00F0732E" w:rsidRDefault="008F18C4" w:rsidP="00CD5C1D">
      <w:pPr>
        <w:rPr>
          <w:sz w:val="28"/>
          <w:szCs w:val="28"/>
        </w:rPr>
      </w:pPr>
    </w:p>
    <w:p w:rsidR="00B51749" w:rsidRPr="00F0732E" w:rsidRDefault="00B51749" w:rsidP="00B51749">
      <w:pPr>
        <w:pStyle w:val="Odsekzoznamu"/>
        <w:spacing w:line="240" w:lineRule="auto"/>
        <w:ind w:left="0"/>
        <w:rPr>
          <w:rFonts w:ascii="Cambria" w:hAnsi="Cambria"/>
          <w:color w:val="FF0000"/>
          <w:sz w:val="28"/>
          <w:szCs w:val="28"/>
        </w:rPr>
      </w:pPr>
      <w:r w:rsidRPr="00F0732E">
        <w:rPr>
          <w:rFonts w:ascii="Cambria" w:hAnsi="Cambria"/>
          <w:b/>
          <w:sz w:val="28"/>
          <w:szCs w:val="28"/>
        </w:rPr>
        <w:t>Významné dosiahnuté výsledky v oblasti vedy, techniky a umenia na Slovenskej technickej univerzite v roku 2014:</w:t>
      </w:r>
    </w:p>
    <w:p w:rsidR="00B51749" w:rsidRPr="00F0732E" w:rsidRDefault="00B51749" w:rsidP="00B51749">
      <w:pPr>
        <w:pStyle w:val="Odsekzoznamu"/>
        <w:spacing w:line="240" w:lineRule="auto"/>
        <w:rPr>
          <w:rFonts w:ascii="Cambria" w:hAnsi="Cambria"/>
          <w:b/>
          <w:sz w:val="28"/>
          <w:szCs w:val="28"/>
        </w:rPr>
      </w:pPr>
      <w:r w:rsidRPr="00F0732E">
        <w:rPr>
          <w:rFonts w:ascii="Cambria" w:hAnsi="Cambria"/>
          <w:color w:val="FF0000"/>
          <w:sz w:val="28"/>
          <w:szCs w:val="28"/>
        </w:rPr>
        <w:t xml:space="preserve"> </w:t>
      </w:r>
    </w:p>
    <w:p w:rsidR="00B51749" w:rsidRPr="00F0732E" w:rsidRDefault="00B51749" w:rsidP="00B51749">
      <w:pPr>
        <w:pStyle w:val="Odsekzoznamu"/>
        <w:numPr>
          <w:ilvl w:val="0"/>
          <w:numId w:val="29"/>
        </w:numPr>
        <w:spacing w:line="240" w:lineRule="auto"/>
        <w:rPr>
          <w:rFonts w:ascii="Cambria" w:hAnsi="Cambria"/>
          <w:b/>
          <w:sz w:val="28"/>
          <w:szCs w:val="28"/>
        </w:rPr>
      </w:pPr>
      <w:r w:rsidRPr="00F0732E">
        <w:rPr>
          <w:rFonts w:ascii="Cambria" w:hAnsi="Cambria"/>
          <w:sz w:val="28"/>
          <w:szCs w:val="28"/>
        </w:rPr>
        <w:lastRenderedPageBreak/>
        <w:t xml:space="preserve">STU si naďalej udržala svoje významné postavenie v publikačnej aktivite a získavaní finančných prostriedkov z domácich a zahraničných grantových agentúr v rámci verejných vysokých škôl SR. </w:t>
      </w:r>
      <w:r w:rsidRPr="00F0732E">
        <w:rPr>
          <w:rFonts w:ascii="Cambria" w:hAnsi="Cambria"/>
          <w:b/>
          <w:sz w:val="28"/>
          <w:szCs w:val="28"/>
        </w:rPr>
        <w:t xml:space="preserve">V roku 2014 predstavoval podiel STU v počte publikácii registrovaných v database SCOPUS 25 % v rámci slovenských verejných vysokých </w:t>
      </w:r>
      <w:r w:rsidR="00BE4256" w:rsidRPr="00F0732E">
        <w:rPr>
          <w:rFonts w:ascii="Cambria" w:hAnsi="Cambria"/>
          <w:b/>
          <w:sz w:val="28"/>
          <w:szCs w:val="28"/>
        </w:rPr>
        <w:t>škôl</w:t>
      </w:r>
      <w:r w:rsidRPr="00F0732E">
        <w:rPr>
          <w:rFonts w:ascii="Cambria" w:hAnsi="Cambria"/>
          <w:b/>
          <w:sz w:val="28"/>
          <w:szCs w:val="28"/>
        </w:rPr>
        <w:t xml:space="preserve">, 22 % podiel v domácich a 12 % podiel v zahraničných výskumných projektoch. STU sa v uplynulom roku </w:t>
      </w:r>
      <w:r w:rsidR="00BE4256" w:rsidRPr="00F0732E">
        <w:rPr>
          <w:rFonts w:ascii="Cambria" w:hAnsi="Cambria"/>
          <w:b/>
          <w:sz w:val="28"/>
          <w:szCs w:val="28"/>
        </w:rPr>
        <w:t>podieľala</w:t>
      </w:r>
      <w:r w:rsidRPr="00F0732E">
        <w:rPr>
          <w:rFonts w:ascii="Cambria" w:hAnsi="Cambria"/>
          <w:b/>
          <w:sz w:val="28"/>
          <w:szCs w:val="28"/>
        </w:rPr>
        <w:t xml:space="preserve"> 65 % na finančných prostriedkoch</w:t>
      </w:r>
      <w:r w:rsidRPr="00F0732E">
        <w:rPr>
          <w:rFonts w:ascii="Cambria" w:hAnsi="Cambria"/>
          <w:sz w:val="28"/>
          <w:szCs w:val="28"/>
        </w:rPr>
        <w:t xml:space="preserve"> získaných v rámci výskumných projektov na základe </w:t>
      </w:r>
      <w:r w:rsidRPr="00F0732E">
        <w:rPr>
          <w:rFonts w:ascii="Cambria" w:hAnsi="Cambria"/>
          <w:b/>
          <w:sz w:val="28"/>
          <w:szCs w:val="28"/>
        </w:rPr>
        <w:t>podnikateľskej činnosti</w:t>
      </w:r>
      <w:r w:rsidR="008F18C4">
        <w:rPr>
          <w:rFonts w:ascii="Cambria" w:hAnsi="Cambria"/>
          <w:b/>
          <w:sz w:val="28"/>
          <w:szCs w:val="28"/>
        </w:rPr>
        <w:t xml:space="preserve"> </w:t>
      </w:r>
      <w:r w:rsidR="008F18C4" w:rsidRPr="00AA1642">
        <w:rPr>
          <w:rFonts w:ascii="Cambria" w:hAnsi="Cambria"/>
          <w:b/>
          <w:sz w:val="28"/>
          <w:szCs w:val="28"/>
        </w:rPr>
        <w:t>v rámci SR</w:t>
      </w:r>
      <w:r w:rsidRPr="00AA1642">
        <w:rPr>
          <w:rFonts w:ascii="Cambria" w:hAnsi="Cambria"/>
          <w:b/>
          <w:sz w:val="28"/>
          <w:szCs w:val="28"/>
        </w:rPr>
        <w:t xml:space="preserve">. </w:t>
      </w:r>
    </w:p>
    <w:p w:rsidR="00B51749" w:rsidRPr="00F0732E" w:rsidRDefault="00B51749" w:rsidP="00B51749">
      <w:pPr>
        <w:pStyle w:val="Odsekzoznamu"/>
        <w:spacing w:line="240" w:lineRule="auto"/>
        <w:rPr>
          <w:rFonts w:ascii="Cambria" w:hAnsi="Cambria"/>
          <w:b/>
          <w:sz w:val="28"/>
          <w:szCs w:val="28"/>
        </w:rPr>
      </w:pPr>
    </w:p>
    <w:p w:rsidR="00B51749" w:rsidRPr="00F0732E" w:rsidRDefault="00B51749" w:rsidP="00B51749">
      <w:pPr>
        <w:pStyle w:val="Odsekzoznamu"/>
        <w:numPr>
          <w:ilvl w:val="0"/>
          <w:numId w:val="29"/>
        </w:numPr>
        <w:spacing w:line="240" w:lineRule="auto"/>
        <w:rPr>
          <w:rFonts w:ascii="Cambria" w:hAnsi="Cambria"/>
          <w:sz w:val="28"/>
          <w:szCs w:val="28"/>
        </w:rPr>
      </w:pPr>
      <w:r w:rsidRPr="00F0732E">
        <w:rPr>
          <w:rFonts w:ascii="Cambria" w:hAnsi="Cambria"/>
          <w:sz w:val="28"/>
          <w:szCs w:val="28"/>
        </w:rPr>
        <w:t>V uplynulom roku pokračovali aktivity smerujúce k vytvoreniu Univerzitného vedeckého parku s významnou finančnou dotáciou zo ŠF EÚ ako základ budovania modernej prístrojovej infraštruktúry univerzity. V rámci budovania univerzitných vedeckých parkov v Trnave a Bratislave univerzita preinvestovala vyše 27 mil. €.</w:t>
      </w:r>
    </w:p>
    <w:p w:rsidR="00B51749" w:rsidRPr="00F0732E" w:rsidRDefault="00B51749" w:rsidP="00B51749">
      <w:pPr>
        <w:pStyle w:val="Odsekzoznamu"/>
        <w:spacing w:line="240" w:lineRule="auto"/>
        <w:rPr>
          <w:rFonts w:ascii="Cambria" w:hAnsi="Cambria"/>
          <w:color w:val="A6A6A6"/>
          <w:sz w:val="28"/>
          <w:szCs w:val="28"/>
        </w:rPr>
      </w:pPr>
    </w:p>
    <w:p w:rsidR="00B51749" w:rsidRPr="00F0732E" w:rsidRDefault="00B51749" w:rsidP="00B51749">
      <w:pPr>
        <w:pStyle w:val="Odsekzoznamu"/>
        <w:numPr>
          <w:ilvl w:val="0"/>
          <w:numId w:val="29"/>
        </w:numPr>
        <w:spacing w:line="240" w:lineRule="auto"/>
        <w:rPr>
          <w:rFonts w:ascii="Cambria" w:hAnsi="Cambria"/>
          <w:sz w:val="28"/>
          <w:szCs w:val="28"/>
        </w:rPr>
      </w:pPr>
      <w:r w:rsidRPr="00F0732E">
        <w:rPr>
          <w:rFonts w:ascii="Cambria" w:hAnsi="Cambria"/>
          <w:sz w:val="28"/>
          <w:szCs w:val="28"/>
        </w:rPr>
        <w:t>STU naďalej uplatňovala viaceré motivačné prvky ako dôležitý nástroj na zvýšenie úrovne vedecko-výskumnej činnosti pracovníkov univerzity. Významné miesto mali motivačné aktivity smerujúce na podporu mladých výskumníkov vo forme 110 pridelených grantov v rámci Projektov mladých výskumníkov a 5 pokračujúcich projektov. Univerzite sa podarilo v uplynulom roku našt</w:t>
      </w:r>
      <w:r w:rsidR="006B4509">
        <w:rPr>
          <w:rFonts w:ascii="Cambria" w:hAnsi="Cambria"/>
          <w:sz w:val="28"/>
          <w:szCs w:val="28"/>
        </w:rPr>
        <w:t>a</w:t>
      </w:r>
      <w:r w:rsidRPr="00F0732E">
        <w:rPr>
          <w:rFonts w:ascii="Cambria" w:hAnsi="Cambria"/>
          <w:sz w:val="28"/>
          <w:szCs w:val="28"/>
        </w:rPr>
        <w:t>rtovať schému univerzitných postgraduálnych pobytov.</w:t>
      </w:r>
    </w:p>
    <w:p w:rsidR="00B51749" w:rsidRPr="00F0732E" w:rsidRDefault="00B51749" w:rsidP="00B51749">
      <w:pPr>
        <w:pStyle w:val="Odsekzoznamu"/>
        <w:spacing w:line="240" w:lineRule="auto"/>
        <w:rPr>
          <w:rFonts w:ascii="Cambria" w:hAnsi="Cambria"/>
          <w:sz w:val="28"/>
          <w:szCs w:val="28"/>
        </w:rPr>
      </w:pPr>
    </w:p>
    <w:p w:rsidR="00B51749" w:rsidRPr="00F0732E" w:rsidRDefault="00B51749" w:rsidP="00B51749">
      <w:pPr>
        <w:pStyle w:val="Odsekzoznamu"/>
        <w:numPr>
          <w:ilvl w:val="0"/>
          <w:numId w:val="29"/>
        </w:numPr>
        <w:spacing w:line="240" w:lineRule="auto"/>
        <w:rPr>
          <w:rFonts w:ascii="Cambria" w:hAnsi="Cambria"/>
          <w:sz w:val="28"/>
          <w:szCs w:val="28"/>
        </w:rPr>
      </w:pPr>
      <w:r w:rsidRPr="00F0732E">
        <w:rPr>
          <w:rFonts w:ascii="Cambria" w:hAnsi="Cambria"/>
          <w:sz w:val="28"/>
          <w:szCs w:val="28"/>
        </w:rPr>
        <w:t xml:space="preserve">Pracovníci univerzity podali </w:t>
      </w:r>
      <w:r w:rsidRPr="00F0732E">
        <w:rPr>
          <w:rFonts w:ascii="Cambria" w:hAnsi="Cambria"/>
          <w:b/>
          <w:sz w:val="28"/>
          <w:szCs w:val="28"/>
        </w:rPr>
        <w:t>vyše 40 žiadostí o účas</w:t>
      </w:r>
      <w:r w:rsidR="008F18C4">
        <w:rPr>
          <w:rFonts w:ascii="Cambria" w:hAnsi="Cambria"/>
          <w:b/>
          <w:sz w:val="28"/>
          <w:szCs w:val="28"/>
        </w:rPr>
        <w:t>ť</w:t>
      </w:r>
      <w:r w:rsidRPr="00F0732E">
        <w:rPr>
          <w:rFonts w:ascii="Cambria" w:hAnsi="Cambria"/>
          <w:b/>
          <w:sz w:val="28"/>
          <w:szCs w:val="28"/>
        </w:rPr>
        <w:t xml:space="preserve"> v konzorciách projektov v rámci H2020, pričom 4 z nich boli doteraz bruselskou administratívou posúdené pozitívne. </w:t>
      </w:r>
      <w:r w:rsidRPr="00F0732E">
        <w:rPr>
          <w:rFonts w:ascii="Cambria" w:hAnsi="Cambria"/>
          <w:sz w:val="28"/>
          <w:szCs w:val="28"/>
        </w:rPr>
        <w:t>Významné miesto tiež zohrali podporné aktivity smerujúce k mobilizácii pracovníkov k účasti v projektoch H2020 vo forme informačných dní, prípadne elektronického prenosu aktuálnych informácií a metodickej pomoci pri administrácii projektov.</w:t>
      </w:r>
    </w:p>
    <w:p w:rsidR="00B51749" w:rsidRPr="00F0732E" w:rsidRDefault="00B51749" w:rsidP="00B51749">
      <w:pPr>
        <w:pStyle w:val="Odsekzoznamu"/>
        <w:spacing w:line="240" w:lineRule="auto"/>
        <w:ind w:left="0"/>
        <w:rPr>
          <w:rFonts w:ascii="Cambria" w:hAnsi="Cambria"/>
          <w:color w:val="FF0000"/>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26" w:name="_Toc413009329"/>
      <w:r w:rsidRPr="00F0732E">
        <w:rPr>
          <w:rFonts w:ascii="Cambria" w:hAnsi="Cambria"/>
          <w:color w:val="auto"/>
        </w:rPr>
        <w:t>Východiská a vedecko-výskumná výkonnosť STU</w:t>
      </w:r>
      <w:bookmarkEnd w:id="26"/>
    </w:p>
    <w:p w:rsidR="00B51749" w:rsidRPr="00F0732E" w:rsidRDefault="00B51749" w:rsidP="00B51749">
      <w:pPr>
        <w:rPr>
          <w:color w:val="FF0000"/>
          <w:sz w:val="28"/>
          <w:szCs w:val="28"/>
        </w:rPr>
      </w:pPr>
    </w:p>
    <w:p w:rsidR="00B51749" w:rsidRPr="00F0732E" w:rsidRDefault="00B51749" w:rsidP="00B51749">
      <w:pPr>
        <w:rPr>
          <w:sz w:val="28"/>
          <w:szCs w:val="28"/>
        </w:rPr>
      </w:pPr>
      <w:r w:rsidRPr="00F0732E">
        <w:rPr>
          <w:sz w:val="28"/>
          <w:szCs w:val="28"/>
        </w:rPr>
        <w:t xml:space="preserve">Základnými východiskami pre uskutočňovanie vedecko-výskumnej činnosti univerzity sú získané finančné prostriedky z rozpočtu odvíjajúce sa od externých faktorov daných hodnotením univerzity, či už v rámci ostatnej </w:t>
      </w:r>
      <w:r w:rsidRPr="00F0732E">
        <w:rPr>
          <w:sz w:val="28"/>
          <w:szCs w:val="28"/>
        </w:rPr>
        <w:lastRenderedPageBreak/>
        <w:t>Komplexnej akreditácie, ktorá sa uskutočnila v roku 2008 (Graf 5.1), alebo podiel univerzity na ukazovateľoch ktorými vstupuje do rozdelenia dotácie na bežný kalendárny rok a interné faktory, reprezentované predovšetkým existujúcou výskumnou kapacitou a jej štruktúrou a v neposlednom rade prístrojová a informačná infraštruktúra jednotlivých pracovísk.</w:t>
      </w:r>
    </w:p>
    <w:p w:rsidR="00B51749" w:rsidRPr="00F0732E" w:rsidRDefault="00B51749" w:rsidP="00B51749">
      <w:pPr>
        <w:autoSpaceDE w:val="0"/>
        <w:autoSpaceDN w:val="0"/>
        <w:adjustRightInd w:val="0"/>
        <w:rPr>
          <w:b/>
          <w:i/>
          <w:sz w:val="28"/>
          <w:szCs w:val="28"/>
          <w:vertAlign w:val="subscript"/>
        </w:rPr>
      </w:pPr>
    </w:p>
    <w:p w:rsidR="00B51749" w:rsidRPr="00F0732E" w:rsidRDefault="00B51749" w:rsidP="00B51749">
      <w:pPr>
        <w:autoSpaceDE w:val="0"/>
        <w:autoSpaceDN w:val="0"/>
        <w:adjustRightInd w:val="0"/>
        <w:rPr>
          <w:b/>
          <w:sz w:val="28"/>
          <w:szCs w:val="28"/>
          <w:vertAlign w:val="subscript"/>
        </w:rPr>
      </w:pPr>
    </w:p>
    <w:p w:rsidR="00B51749" w:rsidRPr="00F0732E" w:rsidRDefault="00B51749" w:rsidP="00B51749">
      <w:pPr>
        <w:autoSpaceDE w:val="0"/>
        <w:autoSpaceDN w:val="0"/>
        <w:adjustRightInd w:val="0"/>
        <w:rPr>
          <w:b/>
          <w:sz w:val="28"/>
          <w:szCs w:val="28"/>
        </w:rPr>
      </w:pPr>
      <w:r w:rsidRPr="00F0732E">
        <w:rPr>
          <w:b/>
          <w:sz w:val="28"/>
          <w:szCs w:val="28"/>
        </w:rPr>
        <w:t>Graf 5.1: Hodnotenie výskumnej činnosti verejných vysokých škôl v rámci komplexnej akreditácie z roku 2008</w:t>
      </w:r>
      <w:r w:rsidRPr="00F0732E">
        <w:rPr>
          <w:sz w:val="28"/>
          <w:szCs w:val="28"/>
        </w:rPr>
        <w:t xml:space="preserve"> </w:t>
      </w:r>
    </w:p>
    <w:p w:rsidR="00B51749" w:rsidRPr="00F0732E" w:rsidRDefault="00B51749" w:rsidP="00B51749">
      <w:pPr>
        <w:autoSpaceDE w:val="0"/>
        <w:autoSpaceDN w:val="0"/>
        <w:adjustRightInd w:val="0"/>
        <w:rPr>
          <w:b/>
          <w:sz w:val="28"/>
          <w:szCs w:val="28"/>
        </w:rPr>
      </w:pPr>
    </w:p>
    <w:p w:rsidR="00B51749" w:rsidRPr="00F0732E" w:rsidRDefault="00B51749" w:rsidP="00B51749">
      <w:pPr>
        <w:rPr>
          <w:color w:val="FF0000"/>
          <w:sz w:val="28"/>
          <w:szCs w:val="28"/>
        </w:rPr>
      </w:pPr>
      <w:r>
        <w:rPr>
          <w:i/>
          <w:noProof/>
          <w:sz w:val="28"/>
          <w:szCs w:val="28"/>
          <w:vertAlign w:val="subscript"/>
          <w:lang w:eastAsia="sk-SK"/>
        </w:rPr>
        <w:drawing>
          <wp:inline distT="0" distB="0" distL="0" distR="0">
            <wp:extent cx="4810125" cy="3000375"/>
            <wp:effectExtent l="0" t="0" r="9525"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10125" cy="3000375"/>
                    </a:xfrm>
                    <a:prstGeom prst="rect">
                      <a:avLst/>
                    </a:prstGeom>
                    <a:noFill/>
                    <a:ln>
                      <a:noFill/>
                    </a:ln>
                  </pic:spPr>
                </pic:pic>
              </a:graphicData>
            </a:graphic>
          </wp:inline>
        </w:drawing>
      </w:r>
    </w:p>
    <w:p w:rsidR="00B51749" w:rsidRPr="00F0732E" w:rsidRDefault="00B51749" w:rsidP="00B51749">
      <w:pPr>
        <w:rPr>
          <w:color w:val="FF0000"/>
          <w:sz w:val="28"/>
          <w:szCs w:val="28"/>
        </w:rPr>
      </w:pPr>
    </w:p>
    <w:p w:rsidR="00B51749" w:rsidRPr="00F0732E" w:rsidRDefault="00B51749" w:rsidP="00B51749">
      <w:pPr>
        <w:rPr>
          <w:color w:val="FF0000"/>
          <w:sz w:val="28"/>
          <w:szCs w:val="28"/>
        </w:rPr>
      </w:pPr>
    </w:p>
    <w:p w:rsidR="00B51749" w:rsidRPr="00F0732E" w:rsidRDefault="00B51749" w:rsidP="00B51749">
      <w:pPr>
        <w:rPr>
          <w:color w:val="FF0000"/>
          <w:sz w:val="28"/>
          <w:szCs w:val="28"/>
        </w:rPr>
      </w:pPr>
      <w:r w:rsidRPr="00F0732E">
        <w:rPr>
          <w:b/>
          <w:sz w:val="28"/>
          <w:szCs w:val="28"/>
        </w:rPr>
        <w:t>Slovenská technická univerzita aj v roku 2014 svojimi výsledkami vo vedecko-výskumnej oblasti obhájila svoje pevné postavenie medzi poprednými výskumnými univerzitami na Slovensku</w:t>
      </w:r>
      <w:r w:rsidRPr="00F0732E">
        <w:rPr>
          <w:sz w:val="28"/>
          <w:szCs w:val="28"/>
        </w:rPr>
        <w:t xml:space="preserve">. Potvrdilo to aj opätovné hodnotenie vysokoškolských inštitúcií nezávislou rankingovou a ratingovou organizáciou ARRA. Graf 5.2 dokumentuje vývoj umiestnení súčasti Slovenskej technickej univerzity v hodnoteniach ARRA za ostatných 5 rokov. Aj keď ARRA v priebehu rokov menila a optimalizovala metodiku hodnotenia slovenských univerzít a o niektorých kritériách použitých pri hodnotení by sa dalo pochybovať, viacročné trendy hodnotení v kontexte ostatných slovenských univerzít majú primerane výpovednú hodnotu. </w:t>
      </w:r>
    </w:p>
    <w:p w:rsidR="00B51749" w:rsidRPr="00F0732E" w:rsidRDefault="00B51749" w:rsidP="00B51749">
      <w:pPr>
        <w:rPr>
          <w:color w:val="FF0000"/>
          <w:sz w:val="28"/>
          <w:szCs w:val="28"/>
        </w:rPr>
      </w:pP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 xml:space="preserve">Graf 5. 2. Vývoj umiestnení súčastí STU v hodnoteniach ARRA za roky 2010 – 2014 </w:t>
      </w:r>
    </w:p>
    <w:p w:rsidR="00B51749" w:rsidRPr="00F0732E" w:rsidRDefault="00B51749" w:rsidP="00B51749">
      <w:pPr>
        <w:rPr>
          <w:b/>
          <w:sz w:val="28"/>
          <w:szCs w:val="28"/>
        </w:rPr>
      </w:pPr>
    </w:p>
    <w:p w:rsidR="00B51749" w:rsidRPr="00F0732E" w:rsidRDefault="007D46CC" w:rsidP="00B51749">
      <w:pPr>
        <w:jc w:val="center"/>
        <w:rPr>
          <w:b/>
          <w:sz w:val="28"/>
          <w:szCs w:val="28"/>
        </w:rPr>
      </w:pPr>
      <w:r>
        <w:rPr>
          <w:noProof/>
          <w:sz w:val="28"/>
          <w:szCs w:val="28"/>
          <w:lang w:eastAsia="sk-SK"/>
        </w:rPr>
        <w:lastRenderedPageBreak/>
        <mc:AlternateContent>
          <mc:Choice Requires="wps">
            <w:drawing>
              <wp:anchor distT="0" distB="0" distL="114300" distR="114300" simplePos="0" relativeHeight="251661312" behindDoc="0" locked="0" layoutInCell="1" allowOverlap="1">
                <wp:simplePos x="0" y="0"/>
                <wp:positionH relativeFrom="column">
                  <wp:posOffset>4994910</wp:posOffset>
                </wp:positionH>
                <wp:positionV relativeFrom="paragraph">
                  <wp:posOffset>95250</wp:posOffset>
                </wp:positionV>
                <wp:extent cx="586740" cy="2486025"/>
                <wp:effectExtent l="0" t="0" r="3810" b="9525"/>
                <wp:wrapNone/>
                <wp:docPr id="51" name="Blok text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486025"/>
                        </a:xfrm>
                        <a:prstGeom prst="rect">
                          <a:avLst/>
                        </a:prstGeom>
                        <a:solidFill>
                          <a:sysClr val="window" lastClr="FFFFFF"/>
                        </a:solidFill>
                        <a:ln w="9525" cmpd="sng">
                          <a:noFill/>
                        </a:ln>
                        <a:effectLst/>
                      </wps:spPr>
                      <wps:txbx>
                        <w:txbxContent>
                          <w:p w:rsidR="0067123B" w:rsidRDefault="0067123B" w:rsidP="00B51749">
                            <w:pPr>
                              <w:pStyle w:val="Normlnywebov"/>
                              <w:spacing w:before="0" w:beforeAutospacing="0" w:after="0" w:afterAutospacing="0" w:line="240" w:lineRule="exact"/>
                            </w:pPr>
                            <w:r w:rsidRPr="000050BB">
                              <w:rPr>
                                <w:rFonts w:ascii="Calibri" w:hAnsi="Calibri"/>
                                <w:b/>
                                <w:bCs/>
                                <w:color w:val="FFC000"/>
                                <w:sz w:val="22"/>
                                <w:szCs w:val="22"/>
                              </w:rPr>
                              <w:t>FCHPT</w:t>
                            </w:r>
                          </w:p>
                          <w:p w:rsidR="0067123B" w:rsidRPr="000050BB" w:rsidRDefault="0067123B" w:rsidP="00B51749">
                            <w:pPr>
                              <w:pStyle w:val="Normlnywebov"/>
                              <w:spacing w:before="0" w:beforeAutospacing="0" w:after="0" w:afterAutospacing="0" w:line="240" w:lineRule="exact"/>
                              <w:rPr>
                                <w:rFonts w:ascii="Calibri" w:hAnsi="Calibri"/>
                                <w:b/>
                                <w:bCs/>
                                <w:color w:val="0070C0"/>
                                <w:sz w:val="22"/>
                                <w:szCs w:val="22"/>
                              </w:rPr>
                            </w:pPr>
                          </w:p>
                          <w:p w:rsidR="0067123B" w:rsidRDefault="0067123B" w:rsidP="00B51749">
                            <w:pPr>
                              <w:pStyle w:val="Normlnywebov"/>
                              <w:spacing w:before="0" w:beforeAutospacing="0" w:after="0" w:afterAutospacing="0" w:line="240" w:lineRule="exact"/>
                            </w:pPr>
                            <w:r w:rsidRPr="000050BB">
                              <w:rPr>
                                <w:rFonts w:ascii="Calibri" w:hAnsi="Calibri"/>
                                <w:b/>
                                <w:bCs/>
                                <w:color w:val="0070C0"/>
                                <w:sz w:val="22"/>
                                <w:szCs w:val="22"/>
                              </w:rPr>
                              <w:t>FEI</w:t>
                            </w: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Default="0067123B" w:rsidP="00B51749">
                            <w:pPr>
                              <w:pStyle w:val="Normlnywebov"/>
                              <w:spacing w:before="0" w:beforeAutospacing="0" w:after="0" w:afterAutospacing="0" w:line="240" w:lineRule="exact"/>
                            </w:pPr>
                            <w:r w:rsidRPr="000050BB">
                              <w:rPr>
                                <w:rFonts w:ascii="Calibri" w:hAnsi="Calibri"/>
                                <w:b/>
                                <w:bCs/>
                                <w:color w:val="C00000"/>
                                <w:sz w:val="20"/>
                                <w:szCs w:val="20"/>
                              </w:rPr>
                              <w:t>MTF</w:t>
                            </w:r>
                          </w:p>
                          <w:p w:rsidR="0067123B" w:rsidRDefault="0067123B" w:rsidP="00B51749">
                            <w:pPr>
                              <w:pStyle w:val="Normlnywebov"/>
                              <w:spacing w:before="0" w:beforeAutospacing="0" w:after="0" w:afterAutospacing="0" w:line="240" w:lineRule="exact"/>
                            </w:pPr>
                            <w:r w:rsidRPr="000050BB">
                              <w:rPr>
                                <w:rFonts w:ascii="Calibri" w:hAnsi="Calibri"/>
                                <w:b/>
                                <w:bCs/>
                                <w:color w:val="E36C0A"/>
                                <w:sz w:val="22"/>
                                <w:szCs w:val="22"/>
                              </w:rPr>
                              <w:t>SvF</w:t>
                            </w:r>
                          </w:p>
                          <w:p w:rsidR="0067123B" w:rsidRPr="000050BB" w:rsidRDefault="0067123B" w:rsidP="00B51749">
                            <w:pPr>
                              <w:pStyle w:val="Normlnywebov"/>
                              <w:spacing w:before="0" w:beforeAutospacing="0" w:after="0" w:afterAutospacing="0" w:line="240" w:lineRule="exact"/>
                              <w:rPr>
                                <w:rFonts w:ascii="Calibri" w:hAnsi="Calibri"/>
                                <w:b/>
                                <w:bCs/>
                                <w:color w:val="00B0F0"/>
                                <w:sz w:val="22"/>
                                <w:szCs w:val="22"/>
                              </w:rPr>
                            </w:pPr>
                          </w:p>
                          <w:p w:rsidR="0067123B" w:rsidRDefault="0067123B" w:rsidP="00B51749">
                            <w:pPr>
                              <w:pStyle w:val="Normlnywebov"/>
                              <w:spacing w:before="0" w:beforeAutospacing="0" w:after="0" w:afterAutospacing="0" w:line="240" w:lineRule="exact"/>
                            </w:pPr>
                            <w:r w:rsidRPr="000050BB">
                              <w:rPr>
                                <w:rFonts w:ascii="Calibri" w:hAnsi="Calibri"/>
                                <w:b/>
                                <w:bCs/>
                                <w:color w:val="00B0F0"/>
                                <w:sz w:val="22"/>
                                <w:szCs w:val="22"/>
                              </w:rPr>
                              <w:t>FIIT</w:t>
                            </w:r>
                          </w:p>
                          <w:p w:rsidR="0067123B" w:rsidRDefault="0067123B" w:rsidP="00B51749">
                            <w:pPr>
                              <w:pStyle w:val="Normlnywebov"/>
                              <w:spacing w:before="0" w:beforeAutospacing="0" w:after="0" w:afterAutospacing="0" w:line="240" w:lineRule="exact"/>
                            </w:pPr>
                            <w:r w:rsidRPr="000050BB">
                              <w:rPr>
                                <w:rFonts w:ascii="Calibri" w:hAnsi="Calibri"/>
                                <w:b/>
                                <w:bCs/>
                                <w:color w:val="000000"/>
                                <w:sz w:val="22"/>
                                <w:szCs w:val="22"/>
                              </w:rPr>
                              <w:t>SjF</w:t>
                            </w: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4F44E0" w:rsidRDefault="0067123B" w:rsidP="00B51749">
                            <w:pPr>
                              <w:pStyle w:val="Normlnywebov"/>
                              <w:spacing w:before="0" w:beforeAutospacing="0" w:after="0" w:afterAutospacing="0" w:line="240" w:lineRule="exact"/>
                              <w:rPr>
                                <w:color w:val="00B050"/>
                              </w:rPr>
                            </w:pPr>
                            <w:r w:rsidRPr="000050BB">
                              <w:rPr>
                                <w:rFonts w:ascii="Calibri" w:hAnsi="Calibri"/>
                                <w:b/>
                                <w:bCs/>
                                <w:color w:val="00B050"/>
                                <w:sz w:val="20"/>
                                <w:szCs w:val="20"/>
                              </w:rPr>
                              <w:t>FA</w:t>
                            </w: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51" o:spid="_x0000_s1026" type="#_x0000_t202" style="position:absolute;left:0;text-align:left;margin-left:393.3pt;margin-top:7.5pt;width:46.2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" fillcolor="window" stroked="f">
                <v:path arrowok="t"/>
                <v:textbox>
                  <w:txbxContent>
                    <w:p w:rsidR="0067123B" w:rsidRDefault="0067123B" w:rsidP="00B51749">
                      <w:pPr>
                        <w:pStyle w:val="Normlnywebov"/>
                        <w:spacing w:before="0" w:beforeAutospacing="0" w:after="0" w:afterAutospacing="0" w:line="240" w:lineRule="exact"/>
                      </w:pPr>
                      <w:r w:rsidRPr="000050BB">
                        <w:rPr>
                          <w:rFonts w:ascii="Calibri" w:hAnsi="Calibri"/>
                          <w:b/>
                          <w:bCs/>
                          <w:color w:val="FFC000"/>
                          <w:sz w:val="22"/>
                          <w:szCs w:val="22"/>
                        </w:rPr>
                        <w:t>FCHPT</w:t>
                      </w:r>
                    </w:p>
                    <w:p w:rsidR="0067123B" w:rsidRPr="000050BB" w:rsidRDefault="0067123B" w:rsidP="00B51749">
                      <w:pPr>
                        <w:pStyle w:val="Normlnywebov"/>
                        <w:spacing w:before="0" w:beforeAutospacing="0" w:after="0" w:afterAutospacing="0" w:line="240" w:lineRule="exact"/>
                        <w:rPr>
                          <w:rFonts w:ascii="Calibri" w:hAnsi="Calibri"/>
                          <w:b/>
                          <w:bCs/>
                          <w:color w:val="0070C0"/>
                          <w:sz w:val="22"/>
                          <w:szCs w:val="22"/>
                        </w:rPr>
                      </w:pPr>
                    </w:p>
                    <w:p w:rsidR="0067123B" w:rsidRDefault="0067123B" w:rsidP="00B51749">
                      <w:pPr>
                        <w:pStyle w:val="Normlnywebov"/>
                        <w:spacing w:before="0" w:beforeAutospacing="0" w:after="0" w:afterAutospacing="0" w:line="240" w:lineRule="exact"/>
                      </w:pPr>
                      <w:r w:rsidRPr="000050BB">
                        <w:rPr>
                          <w:rFonts w:ascii="Calibri" w:hAnsi="Calibri"/>
                          <w:b/>
                          <w:bCs/>
                          <w:color w:val="0070C0"/>
                          <w:sz w:val="22"/>
                          <w:szCs w:val="22"/>
                        </w:rPr>
                        <w:t>FEI</w:t>
                      </w: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C00000"/>
                          <w:sz w:val="20"/>
                          <w:szCs w:val="20"/>
                        </w:rPr>
                      </w:pPr>
                    </w:p>
                    <w:p w:rsidR="0067123B" w:rsidRDefault="0067123B" w:rsidP="00B51749">
                      <w:pPr>
                        <w:pStyle w:val="Normlnywebov"/>
                        <w:spacing w:before="0" w:beforeAutospacing="0" w:after="0" w:afterAutospacing="0" w:line="240" w:lineRule="exact"/>
                      </w:pPr>
                      <w:r w:rsidRPr="000050BB">
                        <w:rPr>
                          <w:rFonts w:ascii="Calibri" w:hAnsi="Calibri"/>
                          <w:b/>
                          <w:bCs/>
                          <w:color w:val="C00000"/>
                          <w:sz w:val="20"/>
                          <w:szCs w:val="20"/>
                        </w:rPr>
                        <w:t>MTF</w:t>
                      </w:r>
                    </w:p>
                    <w:p w:rsidR="0067123B" w:rsidRDefault="0067123B" w:rsidP="00B51749">
                      <w:pPr>
                        <w:pStyle w:val="Normlnywebov"/>
                        <w:spacing w:before="0" w:beforeAutospacing="0" w:after="0" w:afterAutospacing="0" w:line="240" w:lineRule="exact"/>
                      </w:pPr>
                      <w:r w:rsidRPr="000050BB">
                        <w:rPr>
                          <w:rFonts w:ascii="Calibri" w:hAnsi="Calibri"/>
                          <w:b/>
                          <w:bCs/>
                          <w:color w:val="E36C0A"/>
                          <w:sz w:val="22"/>
                          <w:szCs w:val="22"/>
                        </w:rPr>
                        <w:t>SvF</w:t>
                      </w:r>
                    </w:p>
                    <w:p w:rsidR="0067123B" w:rsidRPr="000050BB" w:rsidRDefault="0067123B" w:rsidP="00B51749">
                      <w:pPr>
                        <w:pStyle w:val="Normlnywebov"/>
                        <w:spacing w:before="0" w:beforeAutospacing="0" w:after="0" w:afterAutospacing="0" w:line="240" w:lineRule="exact"/>
                        <w:rPr>
                          <w:rFonts w:ascii="Calibri" w:hAnsi="Calibri"/>
                          <w:b/>
                          <w:bCs/>
                          <w:color w:val="00B0F0"/>
                          <w:sz w:val="22"/>
                          <w:szCs w:val="22"/>
                        </w:rPr>
                      </w:pPr>
                    </w:p>
                    <w:p w:rsidR="0067123B" w:rsidRDefault="0067123B" w:rsidP="00B51749">
                      <w:pPr>
                        <w:pStyle w:val="Normlnywebov"/>
                        <w:spacing w:before="0" w:beforeAutospacing="0" w:after="0" w:afterAutospacing="0" w:line="240" w:lineRule="exact"/>
                      </w:pPr>
                      <w:r w:rsidRPr="000050BB">
                        <w:rPr>
                          <w:rFonts w:ascii="Calibri" w:hAnsi="Calibri"/>
                          <w:b/>
                          <w:bCs/>
                          <w:color w:val="00B0F0"/>
                          <w:sz w:val="22"/>
                          <w:szCs w:val="22"/>
                        </w:rPr>
                        <w:t>FIIT</w:t>
                      </w:r>
                    </w:p>
                    <w:p w:rsidR="0067123B" w:rsidRDefault="0067123B" w:rsidP="00B51749">
                      <w:pPr>
                        <w:pStyle w:val="Normlnywebov"/>
                        <w:spacing w:before="0" w:beforeAutospacing="0" w:after="0" w:afterAutospacing="0" w:line="240" w:lineRule="exact"/>
                      </w:pPr>
                      <w:r w:rsidRPr="000050BB">
                        <w:rPr>
                          <w:rFonts w:ascii="Calibri" w:hAnsi="Calibri"/>
                          <w:b/>
                          <w:bCs/>
                          <w:color w:val="000000"/>
                          <w:sz w:val="22"/>
                          <w:szCs w:val="22"/>
                        </w:rPr>
                        <w:t>SjF</w:t>
                      </w: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0050BB" w:rsidRDefault="0067123B" w:rsidP="00B51749">
                      <w:pPr>
                        <w:pStyle w:val="Normlnywebov"/>
                        <w:spacing w:before="0" w:beforeAutospacing="0" w:after="0" w:afterAutospacing="0" w:line="240" w:lineRule="exact"/>
                        <w:rPr>
                          <w:rFonts w:ascii="Calibri" w:hAnsi="Calibri"/>
                          <w:b/>
                          <w:bCs/>
                          <w:color w:val="0070C0"/>
                          <w:sz w:val="20"/>
                          <w:szCs w:val="20"/>
                        </w:rPr>
                      </w:pPr>
                    </w:p>
                    <w:p w:rsidR="0067123B" w:rsidRPr="004F44E0" w:rsidRDefault="0067123B" w:rsidP="00B51749">
                      <w:pPr>
                        <w:pStyle w:val="Normlnywebov"/>
                        <w:spacing w:before="0" w:beforeAutospacing="0" w:after="0" w:afterAutospacing="0" w:line="240" w:lineRule="exact"/>
                        <w:rPr>
                          <w:color w:val="00B050"/>
                        </w:rPr>
                      </w:pPr>
                      <w:r w:rsidRPr="000050BB">
                        <w:rPr>
                          <w:rFonts w:ascii="Calibri" w:hAnsi="Calibri"/>
                          <w:b/>
                          <w:bCs/>
                          <w:color w:val="00B050"/>
                          <w:sz w:val="20"/>
                          <w:szCs w:val="20"/>
                        </w:rPr>
                        <w:t>FA</w:t>
                      </w:r>
                    </w:p>
                  </w:txbxContent>
                </v:textbox>
              </v:shape>
            </w:pict>
          </mc:Fallback>
        </mc:AlternateContent>
      </w:r>
      <w:r w:rsidR="00B51749">
        <w:rPr>
          <w:noProof/>
          <w:sz w:val="28"/>
          <w:szCs w:val="28"/>
          <w:lang w:eastAsia="sk-SK"/>
        </w:rPr>
        <w:drawing>
          <wp:inline distT="0" distB="0" distL="0" distR="0">
            <wp:extent cx="4890977" cy="2999489"/>
            <wp:effectExtent l="0" t="0" r="0" b="0"/>
            <wp:docPr id="28" name="Graf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1749" w:rsidRPr="00F0732E" w:rsidRDefault="00B51749" w:rsidP="00B51749">
      <w:pPr>
        <w:rPr>
          <w:b/>
          <w:sz w:val="28"/>
          <w:szCs w:val="28"/>
        </w:rPr>
      </w:pPr>
    </w:p>
    <w:p w:rsidR="00B51749" w:rsidRPr="00F0732E" w:rsidRDefault="00B51749" w:rsidP="00B51749">
      <w:pPr>
        <w:rPr>
          <w:color w:val="BFBFBF"/>
          <w:sz w:val="28"/>
          <w:szCs w:val="28"/>
        </w:rPr>
      </w:pPr>
    </w:p>
    <w:p w:rsidR="00B51749" w:rsidRPr="00F0732E" w:rsidRDefault="00B51749" w:rsidP="00B51749">
      <w:pPr>
        <w:rPr>
          <w:sz w:val="28"/>
          <w:szCs w:val="28"/>
        </w:rPr>
      </w:pPr>
      <w:r w:rsidRPr="00F0732E">
        <w:rPr>
          <w:sz w:val="28"/>
          <w:szCs w:val="28"/>
        </w:rPr>
        <w:t>Diagramy</w:t>
      </w:r>
      <w:r w:rsidR="0067123B">
        <w:rPr>
          <w:sz w:val="28"/>
          <w:szCs w:val="28"/>
        </w:rPr>
        <w:t xml:space="preserve"> v Grafe</w:t>
      </w:r>
      <w:r w:rsidRPr="00F0732E">
        <w:rPr>
          <w:sz w:val="28"/>
          <w:szCs w:val="28"/>
        </w:rPr>
        <w:t xml:space="preserve"> 5.3 dokumentujú podiel STU a vybraných verejných vysokých škôl na Slovensku pri získavaní domácich výskumných grantov, zahraničných grantov (výskumných aj nevýskumných za rok 2013, tak ako ich zverejnilo MŠVVŠ SR), v počte publikácií registrovaných v databáze SCOPUS v roku 2014</w:t>
      </w:r>
      <w:r w:rsidRPr="00F0732E">
        <w:rPr>
          <w:rStyle w:val="Odkaznapoznmkupodiarou"/>
          <w:sz w:val="28"/>
          <w:szCs w:val="28"/>
        </w:rPr>
        <w:footnoteReference w:id="1"/>
      </w:r>
      <w:r w:rsidRPr="00F0732E">
        <w:rPr>
          <w:sz w:val="28"/>
          <w:szCs w:val="28"/>
        </w:rPr>
        <w:t xml:space="preserve"> a finančných prostriedkov získaných z výskumných projektov na základe podnikateľskej činnosti (Z</w:t>
      </w:r>
      <w:r w:rsidR="008F18C4">
        <w:rPr>
          <w:sz w:val="28"/>
          <w:szCs w:val="28"/>
        </w:rPr>
        <w:t>o</w:t>
      </w:r>
      <w:r w:rsidRPr="00F0732E">
        <w:rPr>
          <w:sz w:val="28"/>
          <w:szCs w:val="28"/>
        </w:rPr>
        <w:t>D). Diagramy jasne dokumentujú skutočnosť, že 5 vybraných slovenských verejných vysokých škôl (UK, STU, TUKE, UPJŠ a ŽU) predstavuje v uvedených ukazovateľoch majoritný podiel v porovnaní so zvyšnými univerzitami. Pri získavaní finančných prostriedkov participuje STU v podiele publikácií registrovaných v databáze SCOPUS v roku 2014 25 percentami v rámci všetkých verejných vysokých škôl na Slovensku. Pri získavaní finančných prostriedkov z výskumných projektov v rámci podnikateľskej činnosti zase participuje STU 65 percentami v rámci všetkých verejných vysokých škôl na Slovensku.</w:t>
      </w:r>
    </w:p>
    <w:p w:rsidR="00B51749" w:rsidRPr="00F0732E" w:rsidRDefault="00B51749" w:rsidP="00B51749">
      <w:pPr>
        <w:rPr>
          <w:sz w:val="28"/>
          <w:szCs w:val="28"/>
        </w:rPr>
      </w:pPr>
    </w:p>
    <w:p w:rsidR="0000089C" w:rsidRDefault="0000089C" w:rsidP="00B51749">
      <w:pPr>
        <w:rPr>
          <w:b/>
          <w:sz w:val="28"/>
          <w:szCs w:val="28"/>
        </w:rPr>
      </w:pPr>
    </w:p>
    <w:p w:rsidR="0000089C" w:rsidRDefault="0000089C" w:rsidP="00B51749">
      <w:pPr>
        <w:rPr>
          <w:b/>
          <w:sz w:val="28"/>
          <w:szCs w:val="28"/>
        </w:rPr>
      </w:pPr>
    </w:p>
    <w:p w:rsidR="0000089C" w:rsidRDefault="0000089C" w:rsidP="00B51749">
      <w:pPr>
        <w:rPr>
          <w:b/>
          <w:sz w:val="28"/>
          <w:szCs w:val="28"/>
        </w:rPr>
      </w:pPr>
    </w:p>
    <w:p w:rsidR="0000089C" w:rsidRDefault="0000089C" w:rsidP="00B51749">
      <w:pPr>
        <w:rPr>
          <w:b/>
          <w:sz w:val="28"/>
          <w:szCs w:val="28"/>
        </w:rPr>
      </w:pPr>
    </w:p>
    <w:p w:rsidR="00B51749" w:rsidRPr="00F0732E" w:rsidRDefault="00B51749" w:rsidP="00B51749">
      <w:pPr>
        <w:rPr>
          <w:b/>
          <w:sz w:val="28"/>
          <w:szCs w:val="28"/>
        </w:rPr>
      </w:pPr>
      <w:r w:rsidRPr="00F0732E">
        <w:rPr>
          <w:b/>
          <w:sz w:val="28"/>
          <w:szCs w:val="28"/>
        </w:rPr>
        <w:t>Graf 5.3. Percentuálne podiely vybraných verejných vysokých škôl na Slovensku pri získavaní domácich výskumných grantov, zahraničných grantov, v publikáciách evidovaných v databáze SCOPUS</w:t>
      </w:r>
      <w:r w:rsidR="00BE4256">
        <w:rPr>
          <w:b/>
          <w:sz w:val="28"/>
          <w:szCs w:val="28"/>
        </w:rPr>
        <w:t xml:space="preserve"> </w:t>
      </w:r>
      <w:r w:rsidRPr="00F0732E">
        <w:rPr>
          <w:b/>
          <w:sz w:val="28"/>
          <w:szCs w:val="28"/>
        </w:rPr>
        <w:t>a </w:t>
      </w:r>
      <w:r w:rsidR="00BE4256" w:rsidRPr="00F0732E">
        <w:rPr>
          <w:b/>
          <w:sz w:val="28"/>
          <w:szCs w:val="28"/>
        </w:rPr>
        <w:t>finančných</w:t>
      </w:r>
      <w:r w:rsidRPr="00F0732E">
        <w:rPr>
          <w:b/>
          <w:sz w:val="28"/>
          <w:szCs w:val="28"/>
        </w:rPr>
        <w:t xml:space="preserve"> prostriedkov z podnikateľskej činnosti.</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7D46CC" w:rsidP="00B51749">
      <w:pPr>
        <w:rPr>
          <w:sz w:val="28"/>
          <w:szCs w:val="28"/>
        </w:rPr>
      </w:pPr>
      <w:r>
        <w:rPr>
          <w:noProof/>
          <w:sz w:val="28"/>
          <w:szCs w:val="28"/>
          <w:lang w:eastAsia="sk-SK"/>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97790</wp:posOffset>
                </wp:positionV>
                <wp:extent cx="3175000" cy="1407160"/>
                <wp:effectExtent l="0" t="0" r="6350" b="2540"/>
                <wp:wrapNone/>
                <wp:docPr id="50" name="Blok text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7160"/>
                        </a:xfrm>
                        <a:prstGeom prst="rect">
                          <a:avLst/>
                        </a:prstGeom>
                        <a:solidFill>
                          <a:srgbClr val="FFFFFF"/>
                        </a:solidFill>
                        <a:ln w="9525">
                          <a:noFill/>
                          <a:miter lim="800000"/>
                          <a:headEnd/>
                          <a:tailEnd/>
                        </a:ln>
                      </wps:spPr>
                      <wps:txbx>
                        <w:txbxContent>
                          <w:p w:rsidR="0067123B" w:rsidRDefault="0067123B" w:rsidP="00B51749">
                            <w:r>
                              <w:rPr>
                                <w:noProof/>
                                <w:lang w:eastAsia="sk-SK"/>
                              </w:rPr>
                              <w:drawing>
                                <wp:inline distT="0" distB="0" distL="0" distR="0">
                                  <wp:extent cx="2479040" cy="1320800"/>
                                  <wp:effectExtent l="0" t="0" r="0" b="0"/>
                                  <wp:docPr id="49" name="Graf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Blok textu 50" o:spid="_x0000_s1027" type="#_x0000_t202" style="position:absolute;left:0;text-align:left;margin-left:230.9pt;margin-top:7.7pt;width:250pt;height:1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" stroked="f">
                <v:textbox>
                  <w:txbxContent>
                    <w:p w:rsidR="0067123B" w:rsidRDefault="0067123B" w:rsidP="00B51749">
                      <w:r>
                        <w:rPr>
                          <w:noProof/>
                          <w:lang w:eastAsia="sk-SK"/>
                        </w:rPr>
                        <w:drawing>
                          <wp:inline distT="0" distB="0" distL="0" distR="0">
                            <wp:extent cx="2479040" cy="1320800"/>
                            <wp:effectExtent l="0" t="0" r="0" b="0"/>
                            <wp:docPr id="49" name="Graf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Pr>
          <w:noProof/>
          <w:sz w:val="28"/>
          <w:szCs w:val="28"/>
          <w:lang w:eastAsia="sk-SK"/>
        </w:rPr>
        <mc:AlternateContent>
          <mc:Choice Requires="wps">
            <w:drawing>
              <wp:anchor distT="0" distB="0" distL="114300" distR="114300" simplePos="0" relativeHeight="251659264" behindDoc="0" locked="0" layoutInCell="1" allowOverlap="1">
                <wp:simplePos x="0" y="0"/>
                <wp:positionH relativeFrom="column">
                  <wp:posOffset>-298450</wp:posOffset>
                </wp:positionH>
                <wp:positionV relativeFrom="paragraph">
                  <wp:posOffset>97790</wp:posOffset>
                </wp:positionV>
                <wp:extent cx="3175000" cy="1489710"/>
                <wp:effectExtent l="0" t="0" r="6350" b="0"/>
                <wp:wrapNone/>
                <wp:docPr id="307" name="Blok text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89710"/>
                        </a:xfrm>
                        <a:prstGeom prst="rect">
                          <a:avLst/>
                        </a:prstGeom>
                        <a:solidFill>
                          <a:srgbClr val="FFFFFF"/>
                        </a:solidFill>
                        <a:ln w="9525">
                          <a:noFill/>
                          <a:miter lim="800000"/>
                          <a:headEnd/>
                          <a:tailEnd/>
                        </a:ln>
                      </wps:spPr>
                      <wps:txbx>
                        <w:txbxContent>
                          <w:p w:rsidR="0067123B" w:rsidRDefault="0067123B" w:rsidP="00B51749">
                            <w:r>
                              <w:rPr>
                                <w:noProof/>
                                <w:lang w:eastAsia="sk-SK"/>
                              </w:rPr>
                              <w:drawing>
                                <wp:inline distT="0" distB="0" distL="0" distR="0">
                                  <wp:extent cx="2491740" cy="1353185"/>
                                  <wp:effectExtent l="0" t="19050" r="3810" b="0"/>
                                  <wp:docPr id="48" name="Graf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Blok textu 307" o:spid="_x0000_s1028" type="#_x0000_t202" style="position:absolute;left:0;text-align:left;margin-left:-23.5pt;margin-top:7.7pt;width:250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" stroked="f">
                <v:textbox>
                  <w:txbxContent>
                    <w:p w:rsidR="0067123B" w:rsidRDefault="0067123B" w:rsidP="00B51749">
                      <w:r>
                        <w:rPr>
                          <w:noProof/>
                          <w:lang w:eastAsia="sk-SK"/>
                        </w:rPr>
                        <w:drawing>
                          <wp:inline distT="0" distB="0" distL="0" distR="0">
                            <wp:extent cx="2491740" cy="1353185"/>
                            <wp:effectExtent l="0" t="19050" r="3810" b="0"/>
                            <wp:docPr id="48" name="Graf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p>
    <w:p w:rsidR="00B51749" w:rsidRPr="00F0732E" w:rsidRDefault="00B51749" w:rsidP="00B51749">
      <w:pPr>
        <w:rPr>
          <w:color w:val="BFBFBF"/>
          <w:sz w:val="28"/>
          <w:szCs w:val="28"/>
        </w:rPr>
      </w:pPr>
    </w:p>
    <w:p w:rsidR="00B51749" w:rsidRPr="00F0732E" w:rsidRDefault="00B51749" w:rsidP="00B51749">
      <w:pPr>
        <w:jc w:val="cente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b/>
          <w:sz w:val="28"/>
          <w:szCs w:val="28"/>
        </w:rPr>
      </w:pPr>
      <w:r w:rsidRPr="00F0732E">
        <w:rPr>
          <w:sz w:val="28"/>
          <w:szCs w:val="28"/>
        </w:rPr>
        <w:t xml:space="preserve">             </w:t>
      </w:r>
      <w:r w:rsidRPr="00F0732E">
        <w:rPr>
          <w:b/>
          <w:sz w:val="28"/>
          <w:szCs w:val="28"/>
        </w:rPr>
        <w:t xml:space="preserve">domáce granty                                                              zahraničné granty           </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2352675" cy="1781175"/>
            <wp:effectExtent l="0" t="0" r="0" b="0"/>
            <wp:docPr id="27" name="Graf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sz w:val="28"/>
          <w:szCs w:val="28"/>
          <w:lang w:eastAsia="sk-SK"/>
        </w:rPr>
        <w:drawing>
          <wp:inline distT="0" distB="0" distL="0" distR="0">
            <wp:extent cx="2781300" cy="1550670"/>
            <wp:effectExtent l="0" t="0" r="0" b="0"/>
            <wp:docPr id="26" name="Graf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51749" w:rsidRPr="00F0732E" w:rsidRDefault="00B51749" w:rsidP="00B51749">
      <w:pPr>
        <w:rPr>
          <w:b/>
          <w:sz w:val="28"/>
          <w:szCs w:val="28"/>
        </w:rPr>
      </w:pPr>
      <w:r w:rsidRPr="00F0732E">
        <w:rPr>
          <w:sz w:val="28"/>
          <w:szCs w:val="28"/>
        </w:rPr>
        <w:tab/>
      </w:r>
      <w:r w:rsidRPr="00F0732E">
        <w:rPr>
          <w:b/>
          <w:sz w:val="28"/>
          <w:szCs w:val="28"/>
        </w:rPr>
        <w:t xml:space="preserve">          publikácie SCOPUS</w:t>
      </w:r>
      <w:r w:rsidRPr="00F0732E">
        <w:rPr>
          <w:sz w:val="28"/>
          <w:szCs w:val="28"/>
        </w:rPr>
        <w:tab/>
      </w:r>
      <w:r w:rsidRPr="00F0732E">
        <w:rPr>
          <w:sz w:val="28"/>
          <w:szCs w:val="28"/>
        </w:rPr>
        <w:tab/>
      </w:r>
      <w:r w:rsidRPr="00F0732E">
        <w:rPr>
          <w:sz w:val="28"/>
          <w:szCs w:val="28"/>
        </w:rPr>
        <w:tab/>
      </w:r>
      <w:r w:rsidRPr="00F0732E">
        <w:rPr>
          <w:sz w:val="28"/>
          <w:szCs w:val="28"/>
        </w:rPr>
        <w:tab/>
      </w:r>
      <w:r w:rsidR="00BE4256" w:rsidRPr="00F0732E">
        <w:rPr>
          <w:b/>
          <w:sz w:val="28"/>
          <w:szCs w:val="28"/>
        </w:rPr>
        <w:t>podnikať</w:t>
      </w:r>
      <w:r w:rsidRPr="00F0732E">
        <w:rPr>
          <w:b/>
          <w:sz w:val="28"/>
          <w:szCs w:val="28"/>
        </w:rPr>
        <w:t>. činnosť</w:t>
      </w:r>
      <w:r w:rsidRPr="00F0732E">
        <w:rPr>
          <w:sz w:val="28"/>
          <w:szCs w:val="28"/>
        </w:rPr>
        <w:tab/>
      </w:r>
      <w:r w:rsidRPr="00F0732E">
        <w:rPr>
          <w:sz w:val="28"/>
          <w:szCs w:val="28"/>
        </w:rPr>
        <w:tab/>
      </w:r>
      <w:r w:rsidRPr="00F0732E">
        <w:rPr>
          <w:b/>
          <w:sz w:val="28"/>
          <w:szCs w:val="28"/>
        </w:rPr>
        <w:tab/>
      </w:r>
      <w:r w:rsidRPr="00F0732E">
        <w:rPr>
          <w:b/>
          <w:sz w:val="28"/>
          <w:szCs w:val="28"/>
        </w:rPr>
        <w:tab/>
      </w:r>
      <w:r w:rsidRPr="00F0732E">
        <w:rPr>
          <w:b/>
          <w:sz w:val="28"/>
          <w:szCs w:val="28"/>
        </w:rPr>
        <w:tab/>
      </w:r>
      <w:r w:rsidRPr="00F0732E">
        <w:rPr>
          <w:b/>
          <w:sz w:val="28"/>
          <w:szCs w:val="28"/>
        </w:rPr>
        <w:tab/>
      </w:r>
    </w:p>
    <w:p w:rsidR="00B51749" w:rsidRPr="00F0732E" w:rsidRDefault="00B51749" w:rsidP="00B51749">
      <w:pPr>
        <w:rPr>
          <w:sz w:val="28"/>
          <w:szCs w:val="28"/>
        </w:rPr>
      </w:pPr>
    </w:p>
    <w:p w:rsidR="00B51749" w:rsidRPr="00120B31" w:rsidRDefault="00B51749" w:rsidP="00B51749">
      <w:pPr>
        <w:rPr>
          <w:sz w:val="28"/>
          <w:szCs w:val="28"/>
        </w:rPr>
      </w:pPr>
      <w:r w:rsidRPr="00120B31">
        <w:rPr>
          <w:sz w:val="28"/>
          <w:szCs w:val="28"/>
        </w:rPr>
        <w:t xml:space="preserve">Tabuľka 5.1 uvádza počty tvorivých výskumných a umeleckých pracovníkov (učiteľov a výskumných a umeleckých pracovníkov s vysokoškolským vzdelaním) </w:t>
      </w:r>
      <w:r w:rsidRPr="00120B31">
        <w:rPr>
          <w:b/>
          <w:sz w:val="28"/>
          <w:szCs w:val="28"/>
        </w:rPr>
        <w:t>k 30. 11. 2014</w:t>
      </w:r>
      <w:r w:rsidRPr="00120B31">
        <w:rPr>
          <w:sz w:val="28"/>
          <w:szCs w:val="28"/>
        </w:rPr>
        <w:t xml:space="preserve"> po jednotlivých súčastiach STU. Počet tvorivých pracovníkov je medziročne vyrovnaný, v kategórii učiteľov došlo medziročne k miernemu poklesu, v kategórii výskumných pracovníkov k nárastu. Univerzita ako celok vykazuje v porovnaní s predošlým rokom stabilizovaný počet tvorivých pracovníkov, najvýraznejšie zmeny v počte pracovníkov vykázala SjF (pokles o 6 %) a MTF (nárast o 4,4 %). V tabuľke 5.1 sú v poslednom stĺpci farebne zvýraznené absolútne zmeny v počte pracovníkov v porovnaní s predchádzajúcim kalendárnym rokom (v tabuľke sú uvedené tzv. neprepočítané počty tvorivých pracovníkov, čiže aktuálny stav k danému termínu).</w:t>
      </w: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305939" w:rsidRDefault="00B51749" w:rsidP="00B51749">
      <w:pPr>
        <w:rPr>
          <w:sz w:val="28"/>
          <w:szCs w:val="28"/>
          <w:highlight w:val="yellow"/>
        </w:rPr>
      </w:pPr>
    </w:p>
    <w:p w:rsidR="00B51749" w:rsidRPr="00120B31" w:rsidRDefault="00B51749" w:rsidP="00B51749">
      <w:pPr>
        <w:rPr>
          <w:sz w:val="28"/>
          <w:szCs w:val="28"/>
        </w:rPr>
      </w:pPr>
      <w:r w:rsidRPr="00120B31">
        <w:rPr>
          <w:b/>
          <w:sz w:val="28"/>
          <w:szCs w:val="28"/>
        </w:rPr>
        <w:t>Tabuľka 5.1. Počty tvorivých pracovníkov súčastí STU k 30. 11. 2014.</w:t>
      </w:r>
    </w:p>
    <w:tbl>
      <w:tblPr>
        <w:tblW w:w="9371" w:type="dxa"/>
        <w:tblInd w:w="55" w:type="dxa"/>
        <w:tblCellMar>
          <w:left w:w="70" w:type="dxa"/>
          <w:right w:w="70" w:type="dxa"/>
        </w:tblCellMar>
        <w:tblLook w:val="04A0" w:firstRow="1" w:lastRow="0" w:firstColumn="1" w:lastColumn="0" w:noHBand="0" w:noVBand="1"/>
      </w:tblPr>
      <w:tblGrid>
        <w:gridCol w:w="1283"/>
        <w:gridCol w:w="1428"/>
        <w:gridCol w:w="1276"/>
        <w:gridCol w:w="1246"/>
        <w:gridCol w:w="1035"/>
        <w:gridCol w:w="1481"/>
        <w:gridCol w:w="2473"/>
      </w:tblGrid>
      <w:tr w:rsidR="00B51749" w:rsidRPr="00120B31" w:rsidTr="00447572">
        <w:trPr>
          <w:trHeight w:val="314"/>
        </w:trPr>
        <w:tc>
          <w:tcPr>
            <w:tcW w:w="1422" w:type="dxa"/>
            <w:vMerge w:val="restart"/>
            <w:tcBorders>
              <w:top w:val="nil"/>
              <w:left w:val="nil"/>
              <w:bottom w:val="single" w:sz="12" w:space="0" w:color="000000"/>
              <w:right w:val="single" w:sz="12" w:space="0" w:color="auto"/>
            </w:tcBorders>
            <w:shd w:val="clear" w:color="auto" w:fill="auto"/>
            <w:vAlign w:val="center"/>
            <w:hideMark/>
          </w:tcPr>
          <w:p w:rsidR="00B51749" w:rsidRPr="00120B31" w:rsidRDefault="00B51749" w:rsidP="00447572">
            <w:pPr>
              <w:jc w:val="center"/>
              <w:rPr>
                <w:sz w:val="28"/>
                <w:szCs w:val="28"/>
              </w:rPr>
            </w:pPr>
            <w:r w:rsidRPr="00120B31">
              <w:rPr>
                <w:sz w:val="28"/>
                <w:szCs w:val="28"/>
              </w:rPr>
              <w:t> </w:t>
            </w:r>
          </w:p>
        </w:tc>
        <w:tc>
          <w:tcPr>
            <w:tcW w:w="4856" w:type="dxa"/>
            <w:gridSpan w:val="4"/>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B51749" w:rsidRPr="00120B31" w:rsidRDefault="00B51749" w:rsidP="00447572">
            <w:pPr>
              <w:jc w:val="center"/>
              <w:rPr>
                <w:b/>
                <w:sz w:val="28"/>
                <w:szCs w:val="28"/>
              </w:rPr>
            </w:pPr>
            <w:r w:rsidRPr="00120B31">
              <w:rPr>
                <w:b/>
                <w:sz w:val="28"/>
                <w:szCs w:val="28"/>
              </w:rPr>
              <w:t>VŠ učitelia</w:t>
            </w:r>
          </w:p>
        </w:tc>
        <w:tc>
          <w:tcPr>
            <w:tcW w:w="129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B51749" w:rsidRPr="00120B31" w:rsidRDefault="00B51749" w:rsidP="00DA088C">
            <w:pPr>
              <w:jc w:val="center"/>
              <w:rPr>
                <w:b/>
                <w:sz w:val="28"/>
                <w:szCs w:val="28"/>
              </w:rPr>
            </w:pPr>
            <w:r w:rsidRPr="00120B31">
              <w:rPr>
                <w:b/>
                <w:sz w:val="28"/>
                <w:szCs w:val="28"/>
              </w:rPr>
              <w:t>Výsk</w:t>
            </w:r>
            <w:r w:rsidR="00DA088C" w:rsidRPr="00120B31">
              <w:rPr>
                <w:b/>
                <w:sz w:val="28"/>
                <w:szCs w:val="28"/>
              </w:rPr>
              <w:t>umní</w:t>
            </w:r>
            <w:r w:rsidRPr="00120B31">
              <w:rPr>
                <w:b/>
                <w:sz w:val="28"/>
                <w:szCs w:val="28"/>
              </w:rPr>
              <w:t xml:space="preserve"> prac. s VŠ vzdelaním</w:t>
            </w:r>
          </w:p>
        </w:tc>
        <w:tc>
          <w:tcPr>
            <w:tcW w:w="1803" w:type="dxa"/>
            <w:tcBorders>
              <w:top w:val="single" w:sz="12" w:space="0" w:color="auto"/>
              <w:left w:val="nil"/>
              <w:bottom w:val="nil"/>
              <w:right w:val="single" w:sz="12" w:space="0" w:color="auto"/>
            </w:tcBorders>
            <w:shd w:val="clear" w:color="auto" w:fill="auto"/>
            <w:vAlign w:val="center"/>
            <w:hideMark/>
          </w:tcPr>
          <w:p w:rsidR="00B51749" w:rsidRPr="00120B31" w:rsidRDefault="00B51749" w:rsidP="00447572">
            <w:pPr>
              <w:jc w:val="center"/>
              <w:rPr>
                <w:sz w:val="28"/>
                <w:szCs w:val="28"/>
              </w:rPr>
            </w:pPr>
            <w:r w:rsidRPr="00120B31">
              <w:rPr>
                <w:sz w:val="28"/>
                <w:szCs w:val="28"/>
              </w:rPr>
              <w:t> </w:t>
            </w:r>
          </w:p>
        </w:tc>
      </w:tr>
      <w:tr w:rsidR="00B51749" w:rsidRPr="00120B31" w:rsidTr="00447572">
        <w:trPr>
          <w:trHeight w:val="1025"/>
        </w:trPr>
        <w:tc>
          <w:tcPr>
            <w:tcW w:w="1422" w:type="dxa"/>
            <w:vMerge/>
            <w:tcBorders>
              <w:top w:val="nil"/>
              <w:left w:val="nil"/>
              <w:bottom w:val="single" w:sz="12" w:space="0" w:color="000000"/>
              <w:right w:val="single" w:sz="12" w:space="0" w:color="auto"/>
            </w:tcBorders>
            <w:vAlign w:val="center"/>
            <w:hideMark/>
          </w:tcPr>
          <w:p w:rsidR="00B51749" w:rsidRPr="00120B31" w:rsidRDefault="00B51749" w:rsidP="00447572">
            <w:pPr>
              <w:rPr>
                <w:sz w:val="28"/>
                <w:szCs w:val="28"/>
              </w:rPr>
            </w:pPr>
          </w:p>
        </w:tc>
        <w:tc>
          <w:tcPr>
            <w:tcW w:w="4856" w:type="dxa"/>
            <w:gridSpan w:val="4"/>
            <w:vMerge/>
            <w:tcBorders>
              <w:top w:val="single" w:sz="12" w:space="0" w:color="auto"/>
              <w:left w:val="single" w:sz="12" w:space="0" w:color="auto"/>
              <w:bottom w:val="single" w:sz="12" w:space="0" w:color="000000"/>
              <w:right w:val="single" w:sz="12" w:space="0" w:color="000000"/>
            </w:tcBorders>
            <w:vAlign w:val="center"/>
            <w:hideMark/>
          </w:tcPr>
          <w:p w:rsidR="00B51749" w:rsidRPr="00120B31" w:rsidRDefault="00B51749" w:rsidP="00447572">
            <w:pPr>
              <w:rPr>
                <w:sz w:val="28"/>
                <w:szCs w:val="28"/>
              </w:rPr>
            </w:pPr>
          </w:p>
        </w:tc>
        <w:tc>
          <w:tcPr>
            <w:tcW w:w="1290" w:type="dxa"/>
            <w:vMerge/>
            <w:tcBorders>
              <w:top w:val="single" w:sz="12" w:space="0" w:color="auto"/>
              <w:left w:val="single" w:sz="12" w:space="0" w:color="auto"/>
              <w:bottom w:val="single" w:sz="12" w:space="0" w:color="000000"/>
              <w:right w:val="single" w:sz="12" w:space="0" w:color="auto"/>
            </w:tcBorders>
            <w:vAlign w:val="center"/>
            <w:hideMark/>
          </w:tcPr>
          <w:p w:rsidR="00B51749" w:rsidRPr="00120B31" w:rsidRDefault="00B51749" w:rsidP="00447572">
            <w:pPr>
              <w:rPr>
                <w:sz w:val="28"/>
                <w:szCs w:val="28"/>
              </w:rPr>
            </w:pPr>
          </w:p>
        </w:tc>
        <w:tc>
          <w:tcPr>
            <w:tcW w:w="1803" w:type="dxa"/>
            <w:tcBorders>
              <w:top w:val="nil"/>
              <w:left w:val="nil"/>
              <w:bottom w:val="nil"/>
              <w:right w:val="single" w:sz="12" w:space="0" w:color="auto"/>
            </w:tcBorders>
            <w:shd w:val="clear" w:color="auto" w:fill="auto"/>
            <w:vAlign w:val="center"/>
            <w:hideMark/>
          </w:tcPr>
          <w:p w:rsidR="00B51749" w:rsidRPr="00120B31" w:rsidRDefault="00DA088C" w:rsidP="00447572">
            <w:pPr>
              <w:jc w:val="center"/>
              <w:rPr>
                <w:rFonts w:cs="Arial"/>
                <w:b/>
                <w:color w:val="FF0000"/>
                <w:sz w:val="28"/>
                <w:szCs w:val="28"/>
              </w:rPr>
            </w:pPr>
            <w:r w:rsidRPr="00120B31">
              <w:rPr>
                <w:b/>
                <w:sz w:val="28"/>
                <w:szCs w:val="28"/>
              </w:rPr>
              <w:t>T</w:t>
            </w:r>
            <w:r w:rsidR="00B51749" w:rsidRPr="00120B31">
              <w:rPr>
                <w:b/>
                <w:sz w:val="28"/>
                <w:szCs w:val="28"/>
              </w:rPr>
              <w:t>voriv</w:t>
            </w:r>
            <w:r w:rsidRPr="00120B31">
              <w:rPr>
                <w:b/>
                <w:sz w:val="28"/>
                <w:szCs w:val="28"/>
              </w:rPr>
              <w:t>í</w:t>
            </w:r>
            <w:r w:rsidR="00B51749" w:rsidRPr="00120B31">
              <w:rPr>
                <w:b/>
                <w:sz w:val="28"/>
                <w:szCs w:val="28"/>
              </w:rPr>
              <w:t xml:space="preserve"> pracovní</w:t>
            </w:r>
            <w:r w:rsidRPr="00120B31">
              <w:rPr>
                <w:b/>
                <w:sz w:val="28"/>
                <w:szCs w:val="28"/>
              </w:rPr>
              <w:t>ci</w:t>
            </w:r>
            <w:r w:rsidR="00B51749" w:rsidRPr="00120B31">
              <w:rPr>
                <w:b/>
                <w:sz w:val="28"/>
                <w:szCs w:val="28"/>
              </w:rPr>
              <w:t xml:space="preserve"> s vysokoškolským vzdelaním</w:t>
            </w:r>
          </w:p>
          <w:p w:rsidR="00B51749" w:rsidRPr="00120B31" w:rsidRDefault="00B51749" w:rsidP="00447572">
            <w:pPr>
              <w:rPr>
                <w:rFonts w:cs="Arial"/>
                <w:color w:val="0000FF"/>
                <w:sz w:val="28"/>
                <w:szCs w:val="28"/>
              </w:rPr>
            </w:pPr>
          </w:p>
        </w:tc>
      </w:tr>
      <w:tr w:rsidR="00B51749" w:rsidRPr="00120B31" w:rsidTr="00447572">
        <w:trPr>
          <w:trHeight w:val="314"/>
        </w:trPr>
        <w:tc>
          <w:tcPr>
            <w:tcW w:w="1422" w:type="dxa"/>
            <w:vMerge/>
            <w:tcBorders>
              <w:top w:val="nil"/>
              <w:left w:val="nil"/>
              <w:bottom w:val="single" w:sz="12" w:space="0" w:color="000000"/>
              <w:right w:val="single" w:sz="12" w:space="0" w:color="auto"/>
            </w:tcBorders>
            <w:vAlign w:val="center"/>
            <w:hideMark/>
          </w:tcPr>
          <w:p w:rsidR="00B51749" w:rsidRPr="00120B31" w:rsidRDefault="00B51749" w:rsidP="00447572">
            <w:pPr>
              <w:rPr>
                <w:sz w:val="28"/>
                <w:szCs w:val="28"/>
              </w:rPr>
            </w:pPr>
          </w:p>
        </w:tc>
        <w:tc>
          <w:tcPr>
            <w:tcW w:w="4856" w:type="dxa"/>
            <w:gridSpan w:val="4"/>
            <w:vMerge/>
            <w:tcBorders>
              <w:top w:val="single" w:sz="12" w:space="0" w:color="auto"/>
              <w:left w:val="single" w:sz="12" w:space="0" w:color="auto"/>
              <w:bottom w:val="single" w:sz="12" w:space="0" w:color="000000"/>
              <w:right w:val="single" w:sz="12" w:space="0" w:color="000000"/>
            </w:tcBorders>
            <w:vAlign w:val="center"/>
            <w:hideMark/>
          </w:tcPr>
          <w:p w:rsidR="00B51749" w:rsidRPr="00120B31" w:rsidRDefault="00B51749" w:rsidP="00447572">
            <w:pPr>
              <w:rPr>
                <w:sz w:val="28"/>
                <w:szCs w:val="28"/>
              </w:rPr>
            </w:pPr>
          </w:p>
        </w:tc>
        <w:tc>
          <w:tcPr>
            <w:tcW w:w="1290" w:type="dxa"/>
            <w:vMerge/>
            <w:tcBorders>
              <w:top w:val="single" w:sz="12" w:space="0" w:color="auto"/>
              <w:left w:val="single" w:sz="12" w:space="0" w:color="auto"/>
              <w:bottom w:val="single" w:sz="12" w:space="0" w:color="000000"/>
              <w:right w:val="single" w:sz="12" w:space="0" w:color="auto"/>
            </w:tcBorders>
            <w:vAlign w:val="center"/>
            <w:hideMark/>
          </w:tcPr>
          <w:p w:rsidR="00B51749" w:rsidRPr="00120B31" w:rsidRDefault="00B51749" w:rsidP="00447572">
            <w:pPr>
              <w:rPr>
                <w:sz w:val="28"/>
                <w:szCs w:val="28"/>
              </w:rPr>
            </w:pPr>
          </w:p>
        </w:tc>
        <w:tc>
          <w:tcPr>
            <w:tcW w:w="1803" w:type="dxa"/>
            <w:tcBorders>
              <w:top w:val="nil"/>
              <w:left w:val="nil"/>
              <w:bottom w:val="nil"/>
              <w:right w:val="single" w:sz="12" w:space="0" w:color="auto"/>
            </w:tcBorders>
            <w:shd w:val="clear" w:color="auto" w:fill="auto"/>
            <w:vAlign w:val="center"/>
            <w:hideMark/>
          </w:tcPr>
          <w:p w:rsidR="00B51749" w:rsidRPr="00120B31" w:rsidRDefault="00B51749" w:rsidP="00447572">
            <w:pPr>
              <w:jc w:val="center"/>
              <w:rPr>
                <w:sz w:val="28"/>
                <w:szCs w:val="28"/>
              </w:rPr>
            </w:pPr>
            <w:r w:rsidRPr="00120B31">
              <w:rPr>
                <w:sz w:val="28"/>
                <w:szCs w:val="28"/>
              </w:rPr>
              <w:t> </w:t>
            </w:r>
          </w:p>
        </w:tc>
      </w:tr>
      <w:tr w:rsidR="00B51749" w:rsidRPr="00120B31" w:rsidTr="00447572">
        <w:trPr>
          <w:trHeight w:val="326"/>
        </w:trPr>
        <w:tc>
          <w:tcPr>
            <w:tcW w:w="1422" w:type="dxa"/>
            <w:vMerge/>
            <w:tcBorders>
              <w:top w:val="nil"/>
              <w:left w:val="nil"/>
              <w:bottom w:val="single" w:sz="12" w:space="0" w:color="000000"/>
              <w:right w:val="single" w:sz="12" w:space="0" w:color="auto"/>
            </w:tcBorders>
            <w:vAlign w:val="center"/>
            <w:hideMark/>
          </w:tcPr>
          <w:p w:rsidR="00B51749" w:rsidRPr="00120B31" w:rsidRDefault="00B51749" w:rsidP="00447572">
            <w:pPr>
              <w:rPr>
                <w:sz w:val="28"/>
                <w:szCs w:val="28"/>
              </w:rPr>
            </w:pPr>
          </w:p>
        </w:tc>
        <w:tc>
          <w:tcPr>
            <w:tcW w:w="142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b/>
                <w:sz w:val="28"/>
                <w:szCs w:val="28"/>
              </w:rPr>
            </w:pPr>
            <w:r w:rsidRPr="00120B31">
              <w:rPr>
                <w:b/>
                <w:sz w:val="28"/>
                <w:szCs w:val="28"/>
              </w:rPr>
              <w:t>Prof.</w:t>
            </w:r>
          </w:p>
        </w:tc>
        <w:tc>
          <w:tcPr>
            <w:tcW w:w="1276"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b/>
                <w:sz w:val="28"/>
                <w:szCs w:val="28"/>
              </w:rPr>
            </w:pPr>
            <w:r w:rsidRPr="00120B31">
              <w:rPr>
                <w:b/>
                <w:sz w:val="28"/>
                <w:szCs w:val="28"/>
              </w:rPr>
              <w:t>Doc.</w:t>
            </w:r>
          </w:p>
        </w:tc>
        <w:tc>
          <w:tcPr>
            <w:tcW w:w="1134"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b/>
                <w:sz w:val="28"/>
                <w:szCs w:val="28"/>
              </w:rPr>
            </w:pPr>
            <w:r w:rsidRPr="00120B31">
              <w:rPr>
                <w:b/>
                <w:sz w:val="28"/>
                <w:szCs w:val="28"/>
              </w:rPr>
              <w:t>asistenti</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b/>
                <w:sz w:val="28"/>
                <w:szCs w:val="28"/>
              </w:rPr>
            </w:pPr>
            <w:r w:rsidRPr="00120B31">
              <w:rPr>
                <w:b/>
                <w:sz w:val="28"/>
                <w:szCs w:val="28"/>
              </w:rPr>
              <w:t>spolu</w:t>
            </w:r>
          </w:p>
        </w:tc>
        <w:tc>
          <w:tcPr>
            <w:tcW w:w="1290" w:type="dxa"/>
            <w:vMerge/>
            <w:tcBorders>
              <w:top w:val="single" w:sz="12" w:space="0" w:color="auto"/>
              <w:left w:val="single" w:sz="12" w:space="0" w:color="auto"/>
              <w:bottom w:val="single" w:sz="12" w:space="0" w:color="000000"/>
              <w:right w:val="single" w:sz="12" w:space="0" w:color="auto"/>
            </w:tcBorders>
            <w:vAlign w:val="center"/>
            <w:hideMark/>
          </w:tcPr>
          <w:p w:rsidR="00B51749" w:rsidRPr="00120B31" w:rsidRDefault="00B51749" w:rsidP="00447572">
            <w:pPr>
              <w:rPr>
                <w:sz w:val="28"/>
                <w:szCs w:val="28"/>
              </w:rPr>
            </w:pP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sz w:val="28"/>
                <w:szCs w:val="28"/>
              </w:rPr>
            </w:pPr>
            <w:r w:rsidRPr="00120B31">
              <w:rPr>
                <w:sz w:val="28"/>
                <w:szCs w:val="28"/>
              </w:rPr>
              <w:t> </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SvF</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37,9</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62,2</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136,5</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236,6</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41,0</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277,6 </w:t>
            </w:r>
            <w:r w:rsidRPr="00120B31">
              <w:rPr>
                <w:rFonts w:cs="Arial"/>
                <w:color w:val="00B050"/>
                <w:sz w:val="28"/>
                <w:szCs w:val="28"/>
              </w:rPr>
              <w:t>(+3,2)</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SjF</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19,4</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31,7</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63,4</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114,5</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41,7</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156,2 </w:t>
            </w:r>
            <w:r w:rsidRPr="00120B31">
              <w:rPr>
                <w:rFonts w:cs="Arial"/>
                <w:color w:val="FF0000"/>
                <w:sz w:val="28"/>
                <w:szCs w:val="28"/>
              </w:rPr>
              <w:t>(-9,3)</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FEI</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35,3</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57,2</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100,0</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192,5</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91,3</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283,8 </w:t>
            </w:r>
            <w:r w:rsidRPr="00120B31">
              <w:rPr>
                <w:rFonts w:cs="Arial"/>
                <w:color w:val="FF0000"/>
                <w:sz w:val="28"/>
                <w:szCs w:val="28"/>
              </w:rPr>
              <w:t>(-4,6)</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FCHPT</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38,4</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73,5</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67,4</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179,3</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80,0</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259,3 </w:t>
            </w:r>
            <w:r w:rsidRPr="00120B31">
              <w:rPr>
                <w:rFonts w:cs="Arial"/>
                <w:color w:val="00B050"/>
                <w:sz w:val="28"/>
                <w:szCs w:val="28"/>
              </w:rPr>
              <w:t>(+7,6)</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FA</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12,8</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29,6</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66,0</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108,4</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21,1</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129,5 </w:t>
            </w:r>
            <w:r w:rsidRPr="00120B31">
              <w:rPr>
                <w:rFonts w:cs="Arial"/>
                <w:color w:val="00B050"/>
                <w:sz w:val="28"/>
                <w:szCs w:val="28"/>
              </w:rPr>
              <w:t>(+2,8)</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MTF</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23,4</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42,8</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105,0</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171,2</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43,4</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214,6 </w:t>
            </w:r>
            <w:r w:rsidRPr="00120B31">
              <w:rPr>
                <w:rFonts w:cs="Arial"/>
                <w:color w:val="00B050"/>
                <w:sz w:val="28"/>
                <w:szCs w:val="28"/>
              </w:rPr>
              <w:t>(+9,5)</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FIIT</w:t>
            </w:r>
          </w:p>
        </w:tc>
        <w:tc>
          <w:tcPr>
            <w:tcW w:w="1428"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3,1</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10,3</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28,9</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42,3</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4,1</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46,4 </w:t>
            </w:r>
            <w:r w:rsidRPr="00120B31">
              <w:rPr>
                <w:rFonts w:cs="Arial"/>
                <w:color w:val="FF0000"/>
                <w:sz w:val="28"/>
                <w:szCs w:val="28"/>
              </w:rPr>
              <w:t>(-0,9)</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Rektorát bez ÚM</w:t>
            </w:r>
          </w:p>
        </w:tc>
        <w:tc>
          <w:tcPr>
            <w:tcW w:w="142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rPr>
                <w:rFonts w:cs="Arial"/>
                <w:sz w:val="28"/>
                <w:szCs w:val="28"/>
              </w:rPr>
            </w:pPr>
            <w:r w:rsidRPr="00120B31">
              <w:rPr>
                <w:rFonts w:cs="Arial"/>
                <w:sz w:val="28"/>
                <w:szCs w:val="28"/>
              </w:rPr>
              <w:t> </w:t>
            </w:r>
          </w:p>
        </w:tc>
        <w:tc>
          <w:tcPr>
            <w:tcW w:w="1276" w:type="dxa"/>
            <w:tcBorders>
              <w:top w:val="nil"/>
              <w:left w:val="nil"/>
              <w:bottom w:val="single" w:sz="12" w:space="0" w:color="auto"/>
              <w:right w:val="single" w:sz="12" w:space="0" w:color="auto"/>
            </w:tcBorders>
            <w:shd w:val="clear" w:color="auto" w:fill="auto"/>
            <w:noWrap/>
            <w:vAlign w:val="bottom"/>
            <w:hideMark/>
          </w:tcPr>
          <w:p w:rsidR="00B51749" w:rsidRPr="00120B31" w:rsidRDefault="00B51749" w:rsidP="00447572">
            <w:pPr>
              <w:rPr>
                <w:rFonts w:cs="Arial"/>
                <w:sz w:val="28"/>
                <w:szCs w:val="28"/>
              </w:rPr>
            </w:pPr>
            <w:r w:rsidRPr="00120B31">
              <w:rPr>
                <w:rFonts w:cs="Arial"/>
                <w:sz w:val="28"/>
                <w:szCs w:val="28"/>
              </w:rPr>
              <w:t> </w:t>
            </w:r>
          </w:p>
        </w:tc>
        <w:tc>
          <w:tcPr>
            <w:tcW w:w="1134" w:type="dxa"/>
            <w:tcBorders>
              <w:top w:val="nil"/>
              <w:left w:val="nil"/>
              <w:bottom w:val="single" w:sz="12" w:space="0" w:color="auto"/>
              <w:right w:val="single" w:sz="12" w:space="0" w:color="auto"/>
            </w:tcBorders>
            <w:shd w:val="clear" w:color="auto" w:fill="auto"/>
            <w:noWrap/>
            <w:vAlign w:val="bottom"/>
            <w:hideMark/>
          </w:tcPr>
          <w:p w:rsidR="00B51749" w:rsidRPr="00120B31" w:rsidRDefault="00B51749" w:rsidP="00447572">
            <w:pPr>
              <w:rPr>
                <w:rFonts w:cs="Arial"/>
                <w:sz w:val="28"/>
                <w:szCs w:val="28"/>
              </w:rPr>
            </w:pPr>
            <w:r w:rsidRPr="00120B31">
              <w:rPr>
                <w:rFonts w:cs="Arial"/>
                <w:sz w:val="28"/>
                <w:szCs w:val="28"/>
              </w:rPr>
              <w:t> </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0</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5,5</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5,5 </w:t>
            </w:r>
            <w:r w:rsidRPr="00120B31">
              <w:rPr>
                <w:rFonts w:cs="Arial"/>
                <w:color w:val="FF0000"/>
                <w:sz w:val="28"/>
                <w:szCs w:val="28"/>
              </w:rPr>
              <w:t>(-6,2)</w:t>
            </w:r>
          </w:p>
        </w:tc>
      </w:tr>
      <w:tr w:rsidR="00B51749" w:rsidRPr="00120B31" w:rsidTr="00447572">
        <w:trPr>
          <w:trHeight w:val="314"/>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ÚM</w:t>
            </w:r>
          </w:p>
        </w:tc>
        <w:tc>
          <w:tcPr>
            <w:tcW w:w="142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3,7</w:t>
            </w:r>
          </w:p>
        </w:tc>
        <w:tc>
          <w:tcPr>
            <w:tcW w:w="1276"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12,1</w:t>
            </w:r>
          </w:p>
        </w:tc>
        <w:tc>
          <w:tcPr>
            <w:tcW w:w="1134"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20,7</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36,5</w:t>
            </w:r>
          </w:p>
        </w:tc>
        <w:tc>
          <w:tcPr>
            <w:tcW w:w="1290" w:type="dxa"/>
            <w:tcBorders>
              <w:top w:val="nil"/>
              <w:left w:val="nil"/>
              <w:bottom w:val="single" w:sz="12" w:space="0" w:color="auto"/>
              <w:right w:val="single" w:sz="12" w:space="0" w:color="auto"/>
            </w:tcBorders>
            <w:shd w:val="clear" w:color="auto" w:fill="auto"/>
            <w:noWrap/>
            <w:vAlign w:val="center"/>
            <w:hideMark/>
          </w:tcPr>
          <w:p w:rsidR="00B51749" w:rsidRPr="00120B31" w:rsidRDefault="00B51749" w:rsidP="00447572">
            <w:pPr>
              <w:jc w:val="center"/>
              <w:rPr>
                <w:rFonts w:cs="Arial"/>
                <w:sz w:val="28"/>
                <w:szCs w:val="28"/>
              </w:rPr>
            </w:pPr>
            <w:r w:rsidRPr="00120B31">
              <w:rPr>
                <w:rFonts w:cs="Arial"/>
                <w:sz w:val="28"/>
                <w:szCs w:val="28"/>
              </w:rPr>
              <w:t>2,7</w:t>
            </w:r>
          </w:p>
        </w:tc>
        <w:tc>
          <w:tcPr>
            <w:tcW w:w="1803"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sz w:val="28"/>
                <w:szCs w:val="28"/>
              </w:rPr>
            </w:pPr>
            <w:r w:rsidRPr="00120B31">
              <w:rPr>
                <w:rFonts w:cs="Arial"/>
                <w:sz w:val="28"/>
                <w:szCs w:val="28"/>
              </w:rPr>
              <w:t xml:space="preserve">39,2 </w:t>
            </w:r>
            <w:r w:rsidRPr="00120B31">
              <w:rPr>
                <w:rFonts w:cs="Arial"/>
                <w:color w:val="00B050"/>
                <w:sz w:val="28"/>
                <w:szCs w:val="28"/>
              </w:rPr>
              <w:t>(+2,1)</w:t>
            </w:r>
          </w:p>
        </w:tc>
      </w:tr>
      <w:tr w:rsidR="00B51749" w:rsidRPr="00F0732E" w:rsidTr="00447572">
        <w:trPr>
          <w:trHeight w:val="606"/>
        </w:trPr>
        <w:tc>
          <w:tcPr>
            <w:tcW w:w="1422" w:type="dxa"/>
            <w:tcBorders>
              <w:top w:val="nil"/>
              <w:left w:val="single" w:sz="12" w:space="0" w:color="auto"/>
              <w:bottom w:val="single" w:sz="12" w:space="0" w:color="auto"/>
              <w:right w:val="single" w:sz="12" w:space="0" w:color="auto"/>
            </w:tcBorders>
            <w:shd w:val="clear" w:color="auto" w:fill="auto"/>
            <w:vAlign w:val="center"/>
            <w:hideMark/>
          </w:tcPr>
          <w:p w:rsidR="00B51749" w:rsidRPr="00120B31" w:rsidRDefault="00B51749" w:rsidP="00447572">
            <w:pPr>
              <w:rPr>
                <w:rFonts w:cs="Arial"/>
                <w:b/>
                <w:bCs/>
                <w:sz w:val="28"/>
                <w:szCs w:val="28"/>
              </w:rPr>
            </w:pPr>
            <w:r w:rsidRPr="00120B31">
              <w:rPr>
                <w:rFonts w:cs="Arial"/>
                <w:b/>
                <w:bCs/>
                <w:sz w:val="28"/>
                <w:szCs w:val="28"/>
              </w:rPr>
              <w:t>STU spolu</w:t>
            </w:r>
          </w:p>
        </w:tc>
        <w:tc>
          <w:tcPr>
            <w:tcW w:w="142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b/>
                <w:bCs/>
                <w:sz w:val="28"/>
                <w:szCs w:val="28"/>
              </w:rPr>
            </w:pPr>
            <w:r w:rsidRPr="00120B31">
              <w:rPr>
                <w:rFonts w:cs="Arial"/>
                <w:b/>
                <w:bCs/>
                <w:sz w:val="28"/>
                <w:szCs w:val="28"/>
              </w:rPr>
              <w:t>174,0</w:t>
            </w:r>
          </w:p>
        </w:tc>
        <w:tc>
          <w:tcPr>
            <w:tcW w:w="1276"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b/>
                <w:bCs/>
                <w:sz w:val="28"/>
                <w:szCs w:val="28"/>
              </w:rPr>
            </w:pPr>
            <w:r w:rsidRPr="00120B31">
              <w:rPr>
                <w:rFonts w:cs="Arial"/>
                <w:b/>
                <w:bCs/>
                <w:sz w:val="28"/>
                <w:szCs w:val="28"/>
              </w:rPr>
              <w:t>319,4</w:t>
            </w:r>
          </w:p>
        </w:tc>
        <w:tc>
          <w:tcPr>
            <w:tcW w:w="1134"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b/>
                <w:bCs/>
                <w:sz w:val="28"/>
                <w:szCs w:val="28"/>
              </w:rPr>
            </w:pPr>
            <w:r w:rsidRPr="00120B31">
              <w:rPr>
                <w:rFonts w:cs="Arial"/>
                <w:b/>
                <w:bCs/>
                <w:sz w:val="28"/>
                <w:szCs w:val="28"/>
              </w:rPr>
              <w:t>587,9</w:t>
            </w:r>
          </w:p>
        </w:tc>
        <w:tc>
          <w:tcPr>
            <w:tcW w:w="1018"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b/>
                <w:bCs/>
                <w:sz w:val="28"/>
                <w:szCs w:val="28"/>
              </w:rPr>
            </w:pPr>
            <w:r w:rsidRPr="00120B31">
              <w:rPr>
                <w:rFonts w:cs="Arial"/>
                <w:b/>
                <w:bCs/>
                <w:sz w:val="28"/>
                <w:szCs w:val="28"/>
              </w:rPr>
              <w:t>1081,3</w:t>
            </w:r>
          </w:p>
        </w:tc>
        <w:tc>
          <w:tcPr>
            <w:tcW w:w="1290" w:type="dxa"/>
            <w:tcBorders>
              <w:top w:val="nil"/>
              <w:left w:val="nil"/>
              <w:bottom w:val="single" w:sz="12" w:space="0" w:color="auto"/>
              <w:right w:val="single" w:sz="12" w:space="0" w:color="auto"/>
            </w:tcBorders>
            <w:shd w:val="clear" w:color="auto" w:fill="auto"/>
            <w:vAlign w:val="center"/>
            <w:hideMark/>
          </w:tcPr>
          <w:p w:rsidR="00B51749" w:rsidRPr="00120B31" w:rsidRDefault="00B51749" w:rsidP="00447572">
            <w:pPr>
              <w:jc w:val="center"/>
              <w:rPr>
                <w:rFonts w:cs="Arial"/>
                <w:b/>
                <w:bCs/>
                <w:sz w:val="28"/>
                <w:szCs w:val="28"/>
              </w:rPr>
            </w:pPr>
            <w:r w:rsidRPr="00120B31">
              <w:rPr>
                <w:rFonts w:cs="Arial"/>
                <w:b/>
                <w:bCs/>
                <w:sz w:val="28"/>
                <w:szCs w:val="28"/>
              </w:rPr>
              <w:t>330,8</w:t>
            </w:r>
          </w:p>
        </w:tc>
        <w:tc>
          <w:tcPr>
            <w:tcW w:w="1803" w:type="dxa"/>
            <w:tcBorders>
              <w:top w:val="nil"/>
              <w:left w:val="nil"/>
              <w:bottom w:val="single" w:sz="12" w:space="0" w:color="auto"/>
              <w:right w:val="single" w:sz="12" w:space="0" w:color="auto"/>
            </w:tcBorders>
            <w:shd w:val="clear" w:color="auto" w:fill="auto"/>
            <w:vAlign w:val="center"/>
            <w:hideMark/>
          </w:tcPr>
          <w:p w:rsidR="00B51749" w:rsidRPr="00F0732E" w:rsidRDefault="00B51749" w:rsidP="00447572">
            <w:pPr>
              <w:jc w:val="center"/>
              <w:rPr>
                <w:rFonts w:cs="Arial"/>
                <w:b/>
                <w:bCs/>
                <w:sz w:val="28"/>
                <w:szCs w:val="28"/>
              </w:rPr>
            </w:pPr>
            <w:r w:rsidRPr="00120B31">
              <w:rPr>
                <w:rFonts w:cs="Arial"/>
                <w:b/>
                <w:bCs/>
                <w:sz w:val="28"/>
                <w:szCs w:val="28"/>
              </w:rPr>
              <w:t xml:space="preserve">1412,1 </w:t>
            </w:r>
            <w:r w:rsidRPr="00120B31">
              <w:rPr>
                <w:rFonts w:cs="Arial"/>
                <w:b/>
                <w:bCs/>
                <w:color w:val="FF0000"/>
                <w:sz w:val="28"/>
                <w:szCs w:val="28"/>
              </w:rPr>
              <w:t>(+4.2)</w:t>
            </w:r>
          </w:p>
        </w:tc>
      </w:tr>
    </w:tbl>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ind w:firstLine="360"/>
        <w:rPr>
          <w:b/>
          <w:sz w:val="28"/>
          <w:szCs w:val="28"/>
        </w:rPr>
      </w:pPr>
      <w:r w:rsidRPr="00F0732E">
        <w:rPr>
          <w:sz w:val="28"/>
          <w:szCs w:val="28"/>
        </w:rPr>
        <w:t>Percentuálny podiel súčastí STU na celkovej výskumnej kapacite v roku 2014 (k 30. 11. 2014) je znázornený na grafe 5. 4.</w:t>
      </w:r>
      <w:r w:rsidRPr="00F0732E">
        <w:rPr>
          <w:b/>
          <w:sz w:val="28"/>
          <w:szCs w:val="28"/>
        </w:rPr>
        <w:t xml:space="preserve"> </w:t>
      </w:r>
    </w:p>
    <w:p w:rsidR="00B51749" w:rsidRPr="00F0732E" w:rsidRDefault="00B51749" w:rsidP="00B51749">
      <w:pPr>
        <w:ind w:firstLine="360"/>
        <w:rPr>
          <w:b/>
          <w:sz w:val="28"/>
          <w:szCs w:val="28"/>
        </w:rPr>
      </w:pPr>
    </w:p>
    <w:p w:rsidR="00B51749" w:rsidRPr="00F0732E" w:rsidRDefault="00B51749" w:rsidP="00B51749">
      <w:pPr>
        <w:ind w:firstLine="360"/>
        <w:rPr>
          <w:b/>
          <w:sz w:val="28"/>
          <w:szCs w:val="28"/>
        </w:rPr>
      </w:pPr>
    </w:p>
    <w:p w:rsidR="00B51749" w:rsidRPr="00F0732E" w:rsidRDefault="00B51749" w:rsidP="00B51749">
      <w:pPr>
        <w:ind w:firstLine="360"/>
        <w:rPr>
          <w:b/>
          <w:sz w:val="28"/>
          <w:szCs w:val="28"/>
        </w:rPr>
      </w:pPr>
      <w:r w:rsidRPr="00F0732E">
        <w:rPr>
          <w:b/>
          <w:sz w:val="28"/>
          <w:szCs w:val="28"/>
        </w:rPr>
        <w:t>Graf 5. 4. Percentuálny podiel súčastí STU na celkovej výskumnej kapacite v roku 2014</w:t>
      </w:r>
    </w:p>
    <w:p w:rsidR="00B51749" w:rsidRPr="00F0732E" w:rsidRDefault="00B51749" w:rsidP="00B51749">
      <w:pPr>
        <w:rPr>
          <w:sz w:val="28"/>
          <w:szCs w:val="28"/>
        </w:rPr>
      </w:pPr>
    </w:p>
    <w:p w:rsidR="00B51749" w:rsidRPr="00F0732E" w:rsidRDefault="00B51749" w:rsidP="00B51749">
      <w:pPr>
        <w:jc w:val="center"/>
        <w:rPr>
          <w:b/>
          <w:sz w:val="28"/>
          <w:szCs w:val="28"/>
        </w:rPr>
      </w:pPr>
      <w:r>
        <w:rPr>
          <w:noProof/>
          <w:sz w:val="28"/>
          <w:szCs w:val="28"/>
          <w:lang w:eastAsia="sk-SK"/>
        </w:rPr>
        <w:lastRenderedPageBreak/>
        <w:drawing>
          <wp:inline distT="0" distB="0" distL="0" distR="0">
            <wp:extent cx="4055745" cy="2579370"/>
            <wp:effectExtent l="0" t="0" r="1905" b="0"/>
            <wp:docPr id="25" name="Graf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1749" w:rsidRPr="00F0732E" w:rsidRDefault="00B51749" w:rsidP="00B51749">
      <w:pPr>
        <w:jc w:val="center"/>
        <w:rPr>
          <w:sz w:val="28"/>
          <w:szCs w:val="28"/>
        </w:rPr>
      </w:pPr>
    </w:p>
    <w:p w:rsidR="00B51749" w:rsidRPr="00F0732E" w:rsidRDefault="00B51749" w:rsidP="00B51749">
      <w:pPr>
        <w:jc w:val="center"/>
        <w:rPr>
          <w:sz w:val="28"/>
          <w:szCs w:val="28"/>
        </w:rPr>
      </w:pPr>
    </w:p>
    <w:p w:rsidR="00B51749" w:rsidRPr="00F0732E" w:rsidRDefault="00B51749" w:rsidP="00B51749">
      <w:pPr>
        <w:pStyle w:val="Nadpis2"/>
        <w:numPr>
          <w:ilvl w:val="1"/>
          <w:numId w:val="19"/>
        </w:numPr>
        <w:rPr>
          <w:rFonts w:ascii="Cambria" w:hAnsi="Cambria"/>
          <w:color w:val="auto"/>
        </w:rPr>
      </w:pPr>
      <w:bookmarkStart w:id="27" w:name="_Toc413009330"/>
      <w:r w:rsidRPr="00F0732E">
        <w:rPr>
          <w:rFonts w:ascii="Cambria" w:hAnsi="Cambria"/>
          <w:color w:val="auto"/>
        </w:rPr>
        <w:t>Financovanie výskumných aktivít na STU</w:t>
      </w:r>
      <w:bookmarkEnd w:id="27"/>
      <w:r w:rsidRPr="00F0732E">
        <w:rPr>
          <w:rFonts w:ascii="Cambria" w:hAnsi="Cambria"/>
          <w:color w:val="auto"/>
        </w:rPr>
        <w:t xml:space="preserve"> </w:t>
      </w:r>
    </w:p>
    <w:p w:rsidR="00B51749" w:rsidRPr="00F0732E" w:rsidRDefault="00B51749" w:rsidP="00B51749">
      <w:pPr>
        <w:rPr>
          <w:lang w:eastAsia="cs-CZ"/>
        </w:rPr>
      </w:pPr>
    </w:p>
    <w:p w:rsidR="00B51749" w:rsidRPr="00F0732E" w:rsidRDefault="00B51749" w:rsidP="00B51749">
      <w:pPr>
        <w:rPr>
          <w:sz w:val="28"/>
          <w:szCs w:val="28"/>
        </w:rPr>
      </w:pPr>
      <w:r w:rsidRPr="00F0732E">
        <w:rPr>
          <w:sz w:val="28"/>
          <w:szCs w:val="28"/>
        </w:rPr>
        <w:t>Financovanie výskumných aktivít sa podobne ako v predchádzajúcich obdobiach uskutočňovalo prostredníctvom viacerých zdrojov, kde popri základnej dotácii z rozpočtu, významné miesto mali domáce a zahraničné granty, štrukturálne fondy, zmluvy o dielo, prípadne iné vlastné zdroje. Z grafu 5.5 je zrejmé rozvrstvenie jednotlivých zdrojov pomocou ktorých sú financované všetky činnosti univerzity.</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jc w:val="center"/>
        <w:rPr>
          <w:b/>
          <w:sz w:val="28"/>
          <w:szCs w:val="28"/>
        </w:rPr>
      </w:pPr>
      <w:r w:rsidRPr="00F0732E">
        <w:rPr>
          <w:b/>
          <w:sz w:val="28"/>
          <w:szCs w:val="28"/>
        </w:rPr>
        <w:t>Graf 5.5. Podiel jednotlivých zdrojov na financovanú STU v roku 2014</w:t>
      </w: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4295775" cy="2486025"/>
            <wp:effectExtent l="0" t="0" r="0" b="0"/>
            <wp:docPr id="24" name="Graf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51749" w:rsidRPr="00F0732E" w:rsidRDefault="00B51749" w:rsidP="00B51749">
      <w:pPr>
        <w:jc w:val="center"/>
        <w:rPr>
          <w:b/>
          <w:sz w:val="28"/>
          <w:szCs w:val="28"/>
        </w:rPr>
      </w:pP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lastRenderedPageBreak/>
        <w:t>V porovnaní s predchádzajúcim rokom došlo približne k 10 % poklesu finančných prostriedkov získaných z dotačných zdrojov (v rámci celkového objemu finančných prostriedkov v sledovaných rokoch, s ktorými STU hospodárila). Podiel financií získaných z domácich a zahraničných agentúr zostal nezmenený, k navýšeniu došlo pri financovaní aktivít zo štrukturálnych fondov EÚ a vlastných zdrojov.</w:t>
      </w:r>
    </w:p>
    <w:p w:rsidR="00B51749" w:rsidRPr="00F0732E" w:rsidRDefault="00B51749" w:rsidP="00B51749">
      <w:pPr>
        <w:rPr>
          <w:color w:val="FF0000"/>
          <w:sz w:val="28"/>
          <w:szCs w:val="28"/>
          <w:lang w:eastAsia="cs-CZ"/>
        </w:rPr>
      </w:pPr>
    </w:p>
    <w:p w:rsidR="00B51749" w:rsidRPr="00F0732E" w:rsidRDefault="00B51749" w:rsidP="00B51749">
      <w:pPr>
        <w:rPr>
          <w:color w:val="FF0000"/>
          <w:sz w:val="28"/>
          <w:szCs w:val="28"/>
          <w:lang w:eastAsia="cs-CZ"/>
        </w:rPr>
      </w:pPr>
    </w:p>
    <w:p w:rsidR="00B51749" w:rsidRPr="00F0732E" w:rsidRDefault="00B51749" w:rsidP="00B51749">
      <w:pPr>
        <w:pStyle w:val="Nadpis3"/>
        <w:rPr>
          <w:rFonts w:ascii="Cambria" w:hAnsi="Cambria"/>
          <w:color w:val="auto"/>
          <w:sz w:val="28"/>
          <w:szCs w:val="28"/>
        </w:rPr>
      </w:pPr>
      <w:bookmarkStart w:id="28" w:name="_Toc413009331"/>
      <w:r w:rsidRPr="00F0732E">
        <w:rPr>
          <w:rFonts w:ascii="Cambria" w:hAnsi="Cambria"/>
          <w:color w:val="auto"/>
          <w:sz w:val="28"/>
          <w:szCs w:val="28"/>
        </w:rPr>
        <w:t>Domáce a zahraničné granty</w:t>
      </w:r>
      <w:bookmarkEnd w:id="28"/>
      <w:r w:rsidRPr="00F0732E">
        <w:rPr>
          <w:rFonts w:ascii="Cambria" w:hAnsi="Cambria"/>
          <w:color w:val="auto"/>
          <w:sz w:val="28"/>
          <w:szCs w:val="28"/>
        </w:rPr>
        <w:t xml:space="preserve"> </w:t>
      </w:r>
    </w:p>
    <w:p w:rsidR="00B51749" w:rsidRPr="00F0732E" w:rsidRDefault="00B51749" w:rsidP="00B51749">
      <w:pPr>
        <w:rPr>
          <w:color w:val="FF0000"/>
          <w:sz w:val="28"/>
          <w:szCs w:val="28"/>
          <w:lang w:eastAsia="cs-CZ"/>
        </w:rPr>
      </w:pPr>
    </w:p>
    <w:p w:rsidR="00B51749" w:rsidRPr="00F0732E" w:rsidRDefault="00B51749" w:rsidP="00B51749">
      <w:pPr>
        <w:rPr>
          <w:sz w:val="28"/>
          <w:szCs w:val="28"/>
        </w:rPr>
      </w:pPr>
      <w:r w:rsidRPr="00F0732E">
        <w:rPr>
          <w:sz w:val="28"/>
          <w:szCs w:val="28"/>
        </w:rPr>
        <w:t>Keďže štruktúra financovania výskumu je nastavená tak, že významnú časť tvoria zdroje štátneho rozpočtu smerované do rôznych grantových schém, dlhotrvajúce finančné poddimenzovanie zdrojov štátu na takéto aktivity sa negatívne prejavuje aj v postupnom absolútnom znižovaní objemu finančných prostriedkov, ktoré univerzita získava na financovanie vedy. Na získavaní zdrojov z grantových agentúr (domácich aj zahraničných) je úspešnosť jednotlivých súčastí STU značne nevyvážená. Jasne to dokumentujú diagramy</w:t>
      </w:r>
      <w:r w:rsidR="0067123B">
        <w:rPr>
          <w:sz w:val="28"/>
          <w:szCs w:val="28"/>
        </w:rPr>
        <w:t xml:space="preserve"> v Grafe</w:t>
      </w:r>
      <w:r w:rsidRPr="00F0732E">
        <w:rPr>
          <w:sz w:val="28"/>
          <w:szCs w:val="28"/>
        </w:rPr>
        <w:t xml:space="preserve"> 5.6.</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jc w:val="center"/>
        <w:rPr>
          <w:b/>
          <w:sz w:val="28"/>
          <w:szCs w:val="28"/>
        </w:rPr>
      </w:pPr>
      <w:r w:rsidRPr="00F0732E">
        <w:rPr>
          <w:b/>
          <w:sz w:val="28"/>
          <w:szCs w:val="28"/>
        </w:rPr>
        <w:t>Graf 5. 6: Podiely súčastí STU na úspešnosti v získavaní v domácich (VEGA, APVV) a zahraničných výskumných grantov roku 2014</w:t>
      </w:r>
    </w:p>
    <w:p w:rsidR="00B51749" w:rsidRPr="00F0732E" w:rsidRDefault="00B51749" w:rsidP="00B51749">
      <w:pPr>
        <w:rPr>
          <w:sz w:val="28"/>
          <w:szCs w:val="28"/>
        </w:rPr>
      </w:pPr>
    </w:p>
    <w:p w:rsidR="00B51749" w:rsidRPr="00F0732E" w:rsidRDefault="007D46CC" w:rsidP="00B51749">
      <w:pPr>
        <w:rPr>
          <w:b/>
          <w:sz w:val="28"/>
          <w:szCs w:val="28"/>
        </w:rPr>
      </w:pPr>
      <w:r>
        <w:rPr>
          <w:noProof/>
          <w:sz w:val="28"/>
          <w:szCs w:val="28"/>
          <w:lang w:eastAsia="sk-SK"/>
        </w:rPr>
        <mc:AlternateContent>
          <mc:Choice Requires="wps">
            <w:drawing>
              <wp:anchor distT="0" distB="0" distL="114300" distR="114300" simplePos="0" relativeHeight="251662336" behindDoc="0" locked="0" layoutInCell="1" allowOverlap="1">
                <wp:simplePos x="0" y="0"/>
                <wp:positionH relativeFrom="column">
                  <wp:posOffset>3033395</wp:posOffset>
                </wp:positionH>
                <wp:positionV relativeFrom="paragraph">
                  <wp:posOffset>81915</wp:posOffset>
                </wp:positionV>
                <wp:extent cx="3317875" cy="2174875"/>
                <wp:effectExtent l="0" t="0" r="0" b="0"/>
                <wp:wrapNone/>
                <wp:docPr id="47" name="Blok text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74875"/>
                        </a:xfrm>
                        <a:prstGeom prst="rect">
                          <a:avLst/>
                        </a:prstGeom>
                        <a:solidFill>
                          <a:srgbClr val="FFFFFF"/>
                        </a:solidFill>
                        <a:ln w="9525">
                          <a:noFill/>
                          <a:miter lim="800000"/>
                          <a:headEnd/>
                          <a:tailEnd/>
                        </a:ln>
                      </wps:spPr>
                      <wps:txbx>
                        <w:txbxContent>
                          <w:p w:rsidR="0067123B" w:rsidRDefault="0067123B" w:rsidP="00B51749">
                            <w:r>
                              <w:rPr>
                                <w:noProof/>
                                <w:lang w:eastAsia="sk-SK"/>
                              </w:rPr>
                              <w:drawing>
                                <wp:inline distT="0" distB="0" distL="0" distR="0">
                                  <wp:extent cx="2859405" cy="1759585"/>
                                  <wp:effectExtent l="0" t="0" r="0" b="0"/>
                                  <wp:docPr id="46" name="Graf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Blok textu 47" o:spid="_x0000_s1029" type="#_x0000_t202" style="position:absolute;left:0;text-align:left;margin-left:238.85pt;margin-top:6.45pt;width:261.25pt;height:1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" stroked="f">
                <v:textbox>
                  <w:txbxContent>
                    <w:p w:rsidR="0067123B" w:rsidRDefault="0067123B" w:rsidP="00B51749">
                      <w:r>
                        <w:rPr>
                          <w:noProof/>
                          <w:lang w:eastAsia="sk-SK"/>
                        </w:rPr>
                        <w:drawing>
                          <wp:inline distT="0" distB="0" distL="0" distR="0">
                            <wp:extent cx="2859405" cy="1759585"/>
                            <wp:effectExtent l="0" t="0" r="0" b="0"/>
                            <wp:docPr id="46" name="Graf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r w:rsidR="00B51749">
        <w:rPr>
          <w:noProof/>
          <w:sz w:val="28"/>
          <w:szCs w:val="28"/>
          <w:lang w:eastAsia="sk-SK"/>
        </w:rPr>
        <w:drawing>
          <wp:inline distT="0" distB="0" distL="0" distR="0">
            <wp:extent cx="2714625" cy="1818640"/>
            <wp:effectExtent l="0" t="0" r="0" b="0"/>
            <wp:docPr id="23" name="Graf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51749" w:rsidRPr="00F0732E" w:rsidRDefault="00B51749" w:rsidP="00B51749">
      <w:pPr>
        <w:ind w:left="2160"/>
        <w:rPr>
          <w:b/>
          <w:sz w:val="28"/>
          <w:szCs w:val="28"/>
        </w:rPr>
      </w:pPr>
      <w:r w:rsidRPr="00F0732E">
        <w:rPr>
          <w:b/>
          <w:sz w:val="28"/>
          <w:szCs w:val="28"/>
        </w:rPr>
        <w:t xml:space="preserve">                                                         Bb)                                                                                                                                                    </w:t>
      </w:r>
    </w:p>
    <w:p w:rsidR="00B51749" w:rsidRPr="00F0732E" w:rsidRDefault="00B51749" w:rsidP="00B51749">
      <w:pPr>
        <w:rPr>
          <w:b/>
          <w:sz w:val="28"/>
          <w:szCs w:val="28"/>
        </w:rPr>
      </w:pPr>
      <w:r w:rsidRPr="00F0732E">
        <w:rPr>
          <w:b/>
          <w:sz w:val="28"/>
          <w:szCs w:val="28"/>
        </w:rPr>
        <w:t xml:space="preserve">                            </w:t>
      </w:r>
    </w:p>
    <w:p w:rsidR="00B51749" w:rsidRPr="00F0732E" w:rsidRDefault="00B51749" w:rsidP="00B51749">
      <w:pPr>
        <w:rPr>
          <w:b/>
          <w:sz w:val="28"/>
          <w:szCs w:val="28"/>
        </w:rPr>
      </w:pPr>
      <w:r w:rsidRPr="00F0732E">
        <w:rPr>
          <w:b/>
          <w:sz w:val="28"/>
          <w:szCs w:val="28"/>
        </w:rPr>
        <w:t xml:space="preserve">                                </w:t>
      </w:r>
    </w:p>
    <w:p w:rsidR="00B51749" w:rsidRPr="00F0732E" w:rsidRDefault="00B51749" w:rsidP="00B51749">
      <w:pPr>
        <w:ind w:left="720" w:firstLine="720"/>
        <w:rPr>
          <w:b/>
          <w:sz w:val="28"/>
          <w:szCs w:val="28"/>
        </w:rPr>
      </w:pPr>
      <w:r w:rsidRPr="00F0732E">
        <w:rPr>
          <w:b/>
          <w:sz w:val="28"/>
          <w:szCs w:val="28"/>
        </w:rPr>
        <w:t>VEGA</w:t>
      </w:r>
      <w:r w:rsidRPr="00F0732E">
        <w:rPr>
          <w:b/>
          <w:sz w:val="28"/>
          <w:szCs w:val="28"/>
        </w:rPr>
        <w:tab/>
      </w:r>
      <w:r w:rsidRPr="00F0732E">
        <w:rPr>
          <w:b/>
          <w:sz w:val="28"/>
          <w:szCs w:val="28"/>
        </w:rPr>
        <w:tab/>
      </w:r>
      <w:r w:rsidRPr="00F0732E">
        <w:rPr>
          <w:b/>
          <w:sz w:val="28"/>
          <w:szCs w:val="28"/>
        </w:rPr>
        <w:tab/>
      </w:r>
      <w:r w:rsidRPr="00F0732E">
        <w:rPr>
          <w:b/>
          <w:sz w:val="28"/>
          <w:szCs w:val="28"/>
        </w:rPr>
        <w:tab/>
      </w:r>
      <w:r w:rsidRPr="00F0732E">
        <w:rPr>
          <w:b/>
          <w:sz w:val="28"/>
          <w:szCs w:val="28"/>
        </w:rPr>
        <w:tab/>
      </w:r>
      <w:r w:rsidRPr="00F0732E">
        <w:rPr>
          <w:b/>
          <w:sz w:val="28"/>
          <w:szCs w:val="28"/>
        </w:rPr>
        <w:tab/>
      </w:r>
      <w:r w:rsidRPr="00F0732E">
        <w:rPr>
          <w:b/>
          <w:sz w:val="28"/>
          <w:szCs w:val="28"/>
        </w:rPr>
        <w:tab/>
        <w:t>APVV</w:t>
      </w:r>
      <w:r w:rsidRPr="00F0732E">
        <w:rPr>
          <w:b/>
          <w:sz w:val="28"/>
          <w:szCs w:val="28"/>
        </w:rPr>
        <w:tab/>
      </w:r>
      <w:r w:rsidRPr="00F0732E">
        <w:rPr>
          <w:b/>
          <w:sz w:val="28"/>
          <w:szCs w:val="28"/>
        </w:rPr>
        <w:tab/>
      </w:r>
    </w:p>
    <w:p w:rsidR="00B51749" w:rsidRPr="00F0732E" w:rsidRDefault="00B51749" w:rsidP="00B51749">
      <w:pPr>
        <w:rPr>
          <w:b/>
          <w:sz w:val="28"/>
          <w:szCs w:val="28"/>
        </w:rPr>
      </w:pPr>
      <w:r w:rsidRPr="00F0732E">
        <w:rPr>
          <w:b/>
          <w:sz w:val="28"/>
          <w:szCs w:val="28"/>
        </w:rPr>
        <w:t xml:space="preserve">                                                                                                                                                        </w:t>
      </w:r>
    </w:p>
    <w:p w:rsidR="00B51749" w:rsidRPr="00F0732E" w:rsidRDefault="00B51749" w:rsidP="00B51749">
      <w:pPr>
        <w:jc w:val="center"/>
        <w:rPr>
          <w:b/>
          <w:sz w:val="28"/>
          <w:szCs w:val="28"/>
        </w:rPr>
      </w:pPr>
    </w:p>
    <w:p w:rsidR="00B51749" w:rsidRPr="00F0732E" w:rsidRDefault="00B51749" w:rsidP="00B51749">
      <w:pPr>
        <w:jc w:val="center"/>
        <w:rPr>
          <w:b/>
          <w:sz w:val="28"/>
          <w:szCs w:val="28"/>
        </w:rPr>
      </w:pPr>
      <w:r>
        <w:rPr>
          <w:noProof/>
          <w:sz w:val="28"/>
          <w:szCs w:val="28"/>
          <w:lang w:eastAsia="sk-SK"/>
        </w:rPr>
        <w:lastRenderedPageBreak/>
        <w:drawing>
          <wp:inline distT="0" distB="0" distL="0" distR="0">
            <wp:extent cx="3323590" cy="2198370"/>
            <wp:effectExtent l="0" t="0" r="0" b="0"/>
            <wp:docPr id="22" name="Graf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1749" w:rsidRPr="00F0732E" w:rsidRDefault="00B51749" w:rsidP="00B51749">
      <w:pPr>
        <w:jc w:val="center"/>
        <w:rPr>
          <w:b/>
          <w:sz w:val="28"/>
          <w:szCs w:val="28"/>
        </w:rPr>
      </w:pPr>
      <w:r w:rsidRPr="00F0732E">
        <w:rPr>
          <w:b/>
          <w:sz w:val="28"/>
          <w:szCs w:val="28"/>
        </w:rPr>
        <w:t>zahraničné granty</w:t>
      </w:r>
    </w:p>
    <w:p w:rsidR="00B51749" w:rsidRPr="00F0732E" w:rsidRDefault="00B51749" w:rsidP="00B51749">
      <w:pPr>
        <w:jc w:val="center"/>
        <w:rPr>
          <w:b/>
          <w:sz w:val="28"/>
          <w:szCs w:val="28"/>
        </w:rPr>
      </w:pP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Graf 5.7 znázorňuje efektívnosť v získavaní finančných prostriedkov v € získaných jednotlivými súčasťami STU prepočítané na jedného tvorivého pracovníka z domácich a zahraničných výskumných grantov v roku 2014 vztiahnuté k priemeru STU (1</w:t>
      </w:r>
      <w:r>
        <w:rPr>
          <w:sz w:val="28"/>
          <w:szCs w:val="28"/>
        </w:rPr>
        <w:t xml:space="preserve"> </w:t>
      </w:r>
      <w:r w:rsidRPr="00F0732E">
        <w:rPr>
          <w:sz w:val="28"/>
          <w:szCs w:val="28"/>
        </w:rPr>
        <w:t>406 €/prac</w:t>
      </w:r>
      <w:r>
        <w:rPr>
          <w:sz w:val="28"/>
          <w:szCs w:val="28"/>
        </w:rPr>
        <w:t>.</w:t>
      </w:r>
      <w:r w:rsidRPr="00F0732E">
        <w:rPr>
          <w:sz w:val="28"/>
          <w:szCs w:val="28"/>
        </w:rPr>
        <w:t xml:space="preserve"> u domácich a 828 €/prac</w:t>
      </w:r>
      <w:r>
        <w:rPr>
          <w:sz w:val="28"/>
          <w:szCs w:val="28"/>
        </w:rPr>
        <w:t>.</w:t>
      </w:r>
      <w:r w:rsidRPr="00F0732E">
        <w:rPr>
          <w:sz w:val="28"/>
          <w:szCs w:val="28"/>
        </w:rPr>
        <w:t xml:space="preserve"> u zahraničných projektov).</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Graf 5. 7: Porovnanie efektívnosti v získavaní finančných prostriedkov jednotlivými súčasťami STU v € na jedného tvorivého pracovníka v roku 2014 vzhľadom k priemeru STU u domácich a zahran</w:t>
      </w:r>
      <w:r>
        <w:rPr>
          <w:b/>
          <w:sz w:val="28"/>
          <w:szCs w:val="28"/>
        </w:rPr>
        <w:t xml:space="preserve">ičných </w:t>
      </w:r>
      <w:r w:rsidRPr="00F0732E">
        <w:rPr>
          <w:b/>
          <w:sz w:val="28"/>
          <w:szCs w:val="28"/>
        </w:rPr>
        <w:t>grantových agentúr</w:t>
      </w:r>
    </w:p>
    <w:p w:rsidR="00B51749" w:rsidRPr="00F0732E" w:rsidRDefault="00B51749" w:rsidP="00B51749">
      <w:pPr>
        <w:rPr>
          <w:sz w:val="28"/>
          <w:szCs w:val="28"/>
        </w:rPr>
      </w:pPr>
      <w:r w:rsidRPr="00F0732E">
        <w:rPr>
          <w:sz w:val="28"/>
          <w:szCs w:val="28"/>
          <w:lang w:eastAsia="sk-SK"/>
        </w:rPr>
        <w:t xml:space="preserve"> </w:t>
      </w:r>
      <w:r>
        <w:rPr>
          <w:noProof/>
          <w:sz w:val="28"/>
          <w:szCs w:val="28"/>
          <w:lang w:eastAsia="sk-SK"/>
        </w:rPr>
        <w:drawing>
          <wp:inline distT="0" distB="0" distL="0" distR="0">
            <wp:extent cx="2771775" cy="2076450"/>
            <wp:effectExtent l="0" t="0" r="0" b="0"/>
            <wp:docPr id="21" name="Graf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sz w:val="28"/>
          <w:szCs w:val="28"/>
          <w:lang w:eastAsia="sk-SK"/>
        </w:rPr>
        <w:drawing>
          <wp:inline distT="0" distB="0" distL="0" distR="0">
            <wp:extent cx="2771775" cy="2076450"/>
            <wp:effectExtent l="0" t="0" r="0" b="0"/>
            <wp:docPr id="20"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51749" w:rsidRPr="00F0732E" w:rsidRDefault="00B51749" w:rsidP="00B51749">
      <w:pPr>
        <w:spacing w:after="200"/>
        <w:ind w:left="720" w:firstLine="720"/>
        <w:rPr>
          <w:b/>
          <w:sz w:val="28"/>
          <w:szCs w:val="28"/>
        </w:rPr>
      </w:pPr>
      <w:r w:rsidRPr="00F0732E">
        <w:rPr>
          <w:sz w:val="28"/>
          <w:szCs w:val="28"/>
        </w:rPr>
        <w:t xml:space="preserve">  </w:t>
      </w:r>
      <w:r w:rsidRPr="00F0732E">
        <w:rPr>
          <w:b/>
          <w:sz w:val="28"/>
          <w:szCs w:val="28"/>
        </w:rPr>
        <w:t xml:space="preserve">domáce granty                            </w:t>
      </w:r>
      <w:r w:rsidR="005D132B">
        <w:rPr>
          <w:b/>
          <w:sz w:val="28"/>
          <w:szCs w:val="28"/>
        </w:rPr>
        <w:t xml:space="preserve">  </w:t>
      </w:r>
      <w:r w:rsidRPr="00F0732E">
        <w:rPr>
          <w:b/>
          <w:sz w:val="28"/>
          <w:szCs w:val="28"/>
        </w:rPr>
        <w:t xml:space="preserve">      zahraničné granty</w:t>
      </w:r>
    </w:p>
    <w:p w:rsidR="00B51749" w:rsidRPr="00F0732E" w:rsidRDefault="00B51749" w:rsidP="00B51749">
      <w:pPr>
        <w:jc w:val="center"/>
        <w:rPr>
          <w:b/>
          <w:sz w:val="28"/>
          <w:szCs w:val="28"/>
        </w:rPr>
      </w:pPr>
      <w:r w:rsidRPr="00F0732E">
        <w:rPr>
          <w:b/>
          <w:sz w:val="28"/>
          <w:szCs w:val="28"/>
        </w:rPr>
        <w:t xml:space="preserve"> </w:t>
      </w: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 xml:space="preserve">Trendy v získavaní finančných prostriedkov z domácich </w:t>
      </w:r>
      <w:r>
        <w:rPr>
          <w:sz w:val="28"/>
          <w:szCs w:val="28"/>
        </w:rPr>
        <w:t xml:space="preserve">grantových agentúr za roky 2011 – </w:t>
      </w:r>
      <w:r w:rsidRPr="00F0732E">
        <w:rPr>
          <w:sz w:val="28"/>
          <w:szCs w:val="28"/>
        </w:rPr>
        <w:t xml:space="preserve">2014 sú v grafe 5.8. </w:t>
      </w:r>
      <w:r w:rsidRPr="00F0732E">
        <w:rPr>
          <w:b/>
          <w:sz w:val="28"/>
          <w:szCs w:val="28"/>
        </w:rPr>
        <w:t>V roku 2014 došlo k miernemu poklesu finančných prostriedkov získaných z domácich grantových agentúr</w:t>
      </w:r>
      <w:r w:rsidRPr="00F0732E">
        <w:rPr>
          <w:sz w:val="28"/>
          <w:szCs w:val="28"/>
        </w:rPr>
        <w:t xml:space="preserve">. </w:t>
      </w:r>
    </w:p>
    <w:p w:rsidR="00B51749" w:rsidRPr="00F0732E" w:rsidRDefault="00B51749" w:rsidP="00B51749">
      <w:pPr>
        <w:rPr>
          <w:sz w:val="28"/>
          <w:szCs w:val="28"/>
        </w:rPr>
      </w:pPr>
      <w:r w:rsidRPr="00F0732E">
        <w:rPr>
          <w:b/>
          <w:sz w:val="28"/>
          <w:szCs w:val="28"/>
        </w:rPr>
        <w:lastRenderedPageBreak/>
        <w:t>Z edukačnej grantovej agentúry získali</w:t>
      </w:r>
      <w:r w:rsidRPr="00F0732E">
        <w:rPr>
          <w:sz w:val="28"/>
          <w:szCs w:val="28"/>
        </w:rPr>
        <w:t xml:space="preserve"> súčasti STU v uplynulom roku 225 tis. €, čo je </w:t>
      </w:r>
      <w:r w:rsidRPr="00F0732E">
        <w:rPr>
          <w:b/>
          <w:sz w:val="28"/>
          <w:szCs w:val="28"/>
        </w:rPr>
        <w:t>mierny nárast oproti roku 2013</w:t>
      </w:r>
      <w:r w:rsidRPr="00F0732E">
        <w:rPr>
          <w:sz w:val="28"/>
          <w:szCs w:val="28"/>
        </w:rPr>
        <w:t>, ke</w:t>
      </w:r>
      <w:r>
        <w:rPr>
          <w:sz w:val="28"/>
          <w:szCs w:val="28"/>
        </w:rPr>
        <w:t>ď</w:t>
      </w:r>
      <w:r w:rsidRPr="00F0732E">
        <w:rPr>
          <w:sz w:val="28"/>
          <w:szCs w:val="28"/>
        </w:rPr>
        <w:t xml:space="preserve"> sme získali 154 tis. €. Finančné prostriedky z grantovej agentúry KEGA nepredstavujú významnejší príspevok k financovaniu vedy a výskumu na STU, preto sme tieto zdroje nepodrobili detailnejšej analýze. </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jc w:val="left"/>
        <w:rPr>
          <w:b/>
          <w:sz w:val="28"/>
          <w:szCs w:val="28"/>
        </w:rPr>
      </w:pPr>
      <w:r w:rsidRPr="00F0732E">
        <w:rPr>
          <w:b/>
          <w:sz w:val="28"/>
          <w:szCs w:val="28"/>
        </w:rPr>
        <w:t>Graf 5. 8: Trendy v získavaní finančných prostriedkov STU z domácich grantových agentúr (v €) v období rokov 2011</w:t>
      </w:r>
      <w:r>
        <w:rPr>
          <w:b/>
          <w:sz w:val="28"/>
          <w:szCs w:val="28"/>
        </w:rPr>
        <w:t xml:space="preserve"> – </w:t>
      </w:r>
      <w:r w:rsidRPr="00F0732E">
        <w:rPr>
          <w:b/>
          <w:sz w:val="28"/>
          <w:szCs w:val="28"/>
        </w:rPr>
        <w:t>2014</w:t>
      </w:r>
    </w:p>
    <w:p w:rsidR="00B51749" w:rsidRPr="00F0732E" w:rsidRDefault="00B51749" w:rsidP="00B51749">
      <w:pPr>
        <w:jc w:val="center"/>
        <w:rPr>
          <w:sz w:val="28"/>
          <w:szCs w:val="28"/>
        </w:rPr>
      </w:pPr>
      <w:r>
        <w:rPr>
          <w:noProof/>
          <w:sz w:val="28"/>
          <w:szCs w:val="28"/>
          <w:lang w:eastAsia="sk-SK"/>
        </w:rPr>
        <w:drawing>
          <wp:inline distT="0" distB="0" distL="0" distR="0">
            <wp:extent cx="4572000" cy="2743200"/>
            <wp:effectExtent l="0" t="0" r="0" b="0"/>
            <wp:docPr id="19" name="Graf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Zaujímavé, detailné informácie v medziročných trendoch získavania finančných prostriedkov z domácich grantových agentúr po jednotlivých súčastiach STU poskytuje graf 5.9.</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Graf 5. 9: Trendy v získavaní finančných prostriedkov STU z domácich grantových agentúr APVV a VEGA v rokoch 2011</w:t>
      </w:r>
      <w:r>
        <w:rPr>
          <w:b/>
          <w:sz w:val="28"/>
          <w:szCs w:val="28"/>
        </w:rPr>
        <w:t xml:space="preserve"> – </w:t>
      </w:r>
      <w:r w:rsidRPr="00F0732E">
        <w:rPr>
          <w:b/>
          <w:sz w:val="28"/>
          <w:szCs w:val="28"/>
        </w:rPr>
        <w:t>2014 pre jednotlivé súčasti STU</w:t>
      </w:r>
    </w:p>
    <w:p w:rsidR="00B51749" w:rsidRPr="00F0732E" w:rsidRDefault="00B51749" w:rsidP="00B51749">
      <w:pPr>
        <w:rPr>
          <w:sz w:val="28"/>
          <w:szCs w:val="28"/>
        </w:rPr>
      </w:pPr>
    </w:p>
    <w:p w:rsidR="00B51749" w:rsidRPr="00F0732E" w:rsidRDefault="00B51749" w:rsidP="00B51749">
      <w:pPr>
        <w:jc w:val="center"/>
        <w:rPr>
          <w:b/>
          <w:sz w:val="28"/>
          <w:szCs w:val="28"/>
        </w:rPr>
      </w:pPr>
      <w:r>
        <w:rPr>
          <w:noProof/>
          <w:sz w:val="28"/>
          <w:szCs w:val="28"/>
          <w:lang w:eastAsia="sk-SK"/>
        </w:rPr>
        <w:lastRenderedPageBreak/>
        <w:drawing>
          <wp:inline distT="0" distB="0" distL="0" distR="0">
            <wp:extent cx="4981575" cy="2743200"/>
            <wp:effectExtent l="0" t="0" r="0" b="0"/>
            <wp:docPr id="18" name="Graf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 xml:space="preserve">Vývoj v získavaní finančných prostriedkov zo zahraničných grantových agentúr za posledné tri roky dokumentuje graf 5.10. </w:t>
      </w:r>
      <w:r w:rsidRPr="00F0732E">
        <w:rPr>
          <w:b/>
          <w:sz w:val="28"/>
          <w:szCs w:val="28"/>
        </w:rPr>
        <w:t>Sumárne za celú univerzitu predstavuje</w:t>
      </w:r>
      <w:r w:rsidRPr="00F0732E">
        <w:rPr>
          <w:sz w:val="28"/>
          <w:szCs w:val="28"/>
        </w:rPr>
        <w:t xml:space="preserve"> </w:t>
      </w:r>
      <w:r w:rsidRPr="00F0732E">
        <w:rPr>
          <w:b/>
          <w:sz w:val="28"/>
          <w:szCs w:val="28"/>
        </w:rPr>
        <w:t>rok 2014 pokles vo finančných prostriedkoch získaných zo zahraničných zdrojov</w:t>
      </w:r>
      <w:r w:rsidRPr="00F0732E">
        <w:rPr>
          <w:sz w:val="28"/>
          <w:szCs w:val="28"/>
        </w:rPr>
        <w:t>.</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Graf 5.10: Trendy v získavaní finančných prostriedkov STU zo zahraničných výskumných grantových agentúr v rokoch 2011</w:t>
      </w:r>
      <w:r>
        <w:rPr>
          <w:b/>
          <w:sz w:val="28"/>
          <w:szCs w:val="28"/>
        </w:rPr>
        <w:t xml:space="preserve"> – </w:t>
      </w:r>
      <w:r w:rsidRPr="00F0732E">
        <w:rPr>
          <w:b/>
          <w:sz w:val="28"/>
          <w:szCs w:val="28"/>
        </w:rPr>
        <w:t>2014</w:t>
      </w: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4568825" cy="2740025"/>
            <wp:effectExtent l="0" t="0" r="22225" b="22225"/>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Graf 5.11 vyjadruje trendy v získavaní finančných prostriedko</w:t>
      </w:r>
      <w:r>
        <w:rPr>
          <w:sz w:val="28"/>
          <w:szCs w:val="28"/>
        </w:rPr>
        <w:t>v</w:t>
      </w:r>
      <w:r w:rsidRPr="00F0732E">
        <w:rPr>
          <w:sz w:val="28"/>
          <w:szCs w:val="28"/>
        </w:rPr>
        <w:t xml:space="preserve"> zo zahraničných grantových agentúr po jednotlivých súčastiach STU za posledné tri roky.</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lastRenderedPageBreak/>
        <w:t>Graf 5.11: Trendy v získavaní finančných prostriedkov zo zahraničných výskumných g</w:t>
      </w:r>
      <w:r>
        <w:rPr>
          <w:b/>
          <w:sz w:val="28"/>
          <w:szCs w:val="28"/>
        </w:rPr>
        <w:t xml:space="preserve">rantových agentúr v rokoch 2012 </w:t>
      </w:r>
      <w:r w:rsidR="002A12FC">
        <w:rPr>
          <w:b/>
          <w:sz w:val="28"/>
          <w:szCs w:val="28"/>
        </w:rPr>
        <w:t>–</w:t>
      </w:r>
      <w:r>
        <w:rPr>
          <w:b/>
          <w:sz w:val="28"/>
          <w:szCs w:val="28"/>
        </w:rPr>
        <w:t xml:space="preserve"> </w:t>
      </w:r>
      <w:r w:rsidRPr="00F0732E">
        <w:rPr>
          <w:b/>
          <w:sz w:val="28"/>
          <w:szCs w:val="28"/>
        </w:rPr>
        <w:t>2014 po jednotlivých súčastiach STU</w:t>
      </w: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5715000" cy="2846705"/>
            <wp:effectExtent l="0" t="0" r="0" b="0"/>
            <wp:docPr id="16"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V decembri minulého roku boli odštartované výzvy v rámci európskych projektov HORIZONT 2020. V priebehu roka bolo pracoviskami STU podaných vyše 40 žiadostí o granty v pozícii partnerov. K dnešném</w:t>
      </w:r>
      <w:r w:rsidR="006233A4">
        <w:rPr>
          <w:sz w:val="28"/>
          <w:szCs w:val="28"/>
        </w:rPr>
        <w:t>u</w:t>
      </w:r>
      <w:r w:rsidRPr="00F0732E">
        <w:rPr>
          <w:sz w:val="28"/>
          <w:szCs w:val="28"/>
        </w:rPr>
        <w:t xml:space="preserve"> dňu boli schválené tri projekty:</w:t>
      </w:r>
    </w:p>
    <w:p w:rsidR="00B51749" w:rsidRPr="00F0732E" w:rsidRDefault="00B51749" w:rsidP="00B51749">
      <w:pPr>
        <w:rPr>
          <w:sz w:val="28"/>
          <w:szCs w:val="28"/>
        </w:rPr>
      </w:pPr>
    </w:p>
    <w:p w:rsidR="00B51749" w:rsidRPr="00F0732E" w:rsidRDefault="00B51749" w:rsidP="00B51749">
      <w:pPr>
        <w:pStyle w:val="Odsekzoznamu"/>
        <w:numPr>
          <w:ilvl w:val="0"/>
          <w:numId w:val="30"/>
        </w:numPr>
        <w:spacing w:after="0" w:line="240" w:lineRule="auto"/>
        <w:rPr>
          <w:rFonts w:ascii="Cambria" w:hAnsi="Cambria"/>
          <w:sz w:val="28"/>
          <w:szCs w:val="28"/>
        </w:rPr>
      </w:pPr>
      <w:r w:rsidRPr="00F0732E">
        <w:rPr>
          <w:rFonts w:ascii="Cambria" w:hAnsi="Cambria"/>
          <w:b/>
          <w:sz w:val="28"/>
          <w:szCs w:val="28"/>
        </w:rPr>
        <w:t>Prof. Ing. Maroš Finka, PhD.</w:t>
      </w:r>
      <w:r w:rsidRPr="00F0732E">
        <w:rPr>
          <w:rFonts w:ascii="Cambria" w:hAnsi="Cambria"/>
          <w:sz w:val="28"/>
          <w:szCs w:val="28"/>
        </w:rPr>
        <w:t xml:space="preserve">: </w:t>
      </w:r>
      <w:r w:rsidRPr="00F0732E">
        <w:rPr>
          <w:rFonts w:ascii="Cambria" w:eastAsia="Times New Roman" w:hAnsi="Cambria"/>
          <w:sz w:val="28"/>
          <w:szCs w:val="28"/>
          <w:lang w:eastAsia="sk-SK"/>
        </w:rPr>
        <w:t>INtegrated Spatial PlannIng, land use and soil management Research ActTION (INSPIRATION)</w:t>
      </w:r>
    </w:p>
    <w:p w:rsidR="00B51749" w:rsidRPr="00F0732E" w:rsidRDefault="00B51749" w:rsidP="00B51749">
      <w:pPr>
        <w:pStyle w:val="Odsekzoznamu"/>
        <w:spacing w:line="240" w:lineRule="auto"/>
        <w:rPr>
          <w:rFonts w:ascii="Cambria" w:hAnsi="Cambria"/>
          <w:sz w:val="28"/>
          <w:szCs w:val="28"/>
        </w:rPr>
      </w:pPr>
    </w:p>
    <w:p w:rsidR="00B51749" w:rsidRPr="00F0732E" w:rsidRDefault="00B51749" w:rsidP="00B51749">
      <w:pPr>
        <w:pStyle w:val="Odsekzoznamu"/>
        <w:numPr>
          <w:ilvl w:val="0"/>
          <w:numId w:val="30"/>
        </w:numPr>
        <w:spacing w:after="0" w:line="240" w:lineRule="auto"/>
        <w:rPr>
          <w:rFonts w:ascii="Cambria" w:hAnsi="Cambria"/>
          <w:sz w:val="28"/>
          <w:szCs w:val="28"/>
        </w:rPr>
      </w:pPr>
      <w:r w:rsidRPr="00F0732E">
        <w:rPr>
          <w:rFonts w:ascii="Cambria" w:hAnsi="Cambria"/>
          <w:b/>
          <w:sz w:val="28"/>
          <w:szCs w:val="28"/>
        </w:rPr>
        <w:t>Prof. Ing. Alexander Šatka, CSc.</w:t>
      </w:r>
      <w:r w:rsidRPr="00F0732E">
        <w:rPr>
          <w:rFonts w:ascii="Cambria" w:hAnsi="Cambria"/>
          <w:sz w:val="28"/>
          <w:szCs w:val="28"/>
        </w:rPr>
        <w:t>: Towards Indium free TCOs (INREP)</w:t>
      </w:r>
    </w:p>
    <w:p w:rsidR="00B51749" w:rsidRPr="00F0732E" w:rsidRDefault="00B51749" w:rsidP="00B51749">
      <w:pPr>
        <w:rPr>
          <w:sz w:val="28"/>
          <w:szCs w:val="28"/>
        </w:rPr>
      </w:pPr>
    </w:p>
    <w:p w:rsidR="00B51749" w:rsidRPr="00372A52" w:rsidRDefault="00B51749" w:rsidP="00B51749">
      <w:pPr>
        <w:pStyle w:val="Odsekzoznamu"/>
        <w:numPr>
          <w:ilvl w:val="0"/>
          <w:numId w:val="30"/>
        </w:numPr>
        <w:spacing w:after="0" w:line="240" w:lineRule="auto"/>
        <w:rPr>
          <w:rFonts w:ascii="Cambria" w:hAnsi="Cambria"/>
          <w:color w:val="000000"/>
          <w:sz w:val="28"/>
          <w:szCs w:val="28"/>
        </w:rPr>
      </w:pPr>
      <w:r w:rsidRPr="00372A52">
        <w:rPr>
          <w:rFonts w:ascii="Cambria" w:hAnsi="Cambria"/>
          <w:b/>
          <w:sz w:val="28"/>
          <w:szCs w:val="28"/>
        </w:rPr>
        <w:t>Doc. Dr. Ing. arch. Roman Rabensiefer</w:t>
      </w:r>
      <w:r w:rsidRPr="00372A52">
        <w:rPr>
          <w:rFonts w:ascii="Cambria" w:hAnsi="Cambria"/>
          <w:sz w:val="28"/>
          <w:szCs w:val="28"/>
        </w:rPr>
        <w:t>: Setting up Qualification and Continuing Education and Training Scheme for Middle and Senior Level</w:t>
      </w:r>
      <w:r w:rsidR="00372A52" w:rsidRPr="00372A52">
        <w:rPr>
          <w:rFonts w:ascii="Cambria" w:hAnsi="Cambria"/>
          <w:sz w:val="28"/>
          <w:szCs w:val="28"/>
        </w:rPr>
        <w:t xml:space="preserve"> </w:t>
      </w:r>
      <w:r w:rsidRPr="00372A52">
        <w:rPr>
          <w:rFonts w:ascii="Cambria" w:hAnsi="Cambria"/>
          <w:color w:val="000000"/>
          <w:sz w:val="28"/>
          <w:szCs w:val="28"/>
        </w:rPr>
        <w:t>Professionals on Energy Efficiency and Use of Renewable Energy Sources in Buildings (InGReS)</w:t>
      </w:r>
    </w:p>
    <w:p w:rsidR="00B51749" w:rsidRPr="00F0732E" w:rsidRDefault="00B51749" w:rsidP="00B51749">
      <w:pPr>
        <w:rPr>
          <w:sz w:val="28"/>
          <w:szCs w:val="28"/>
        </w:rPr>
      </w:pPr>
    </w:p>
    <w:p w:rsidR="00B51749" w:rsidRPr="00F0732E" w:rsidRDefault="00B51749" w:rsidP="00B51749">
      <w:pPr>
        <w:rPr>
          <w:color w:val="FF0000"/>
          <w:sz w:val="28"/>
          <w:szCs w:val="28"/>
        </w:rPr>
      </w:pPr>
    </w:p>
    <w:p w:rsidR="00B51749" w:rsidRPr="00012C3E" w:rsidRDefault="00B51749" w:rsidP="00B51749">
      <w:pPr>
        <w:pStyle w:val="Nadpis3"/>
        <w:rPr>
          <w:rFonts w:ascii="Cambria" w:hAnsi="Cambria"/>
          <w:color w:val="auto"/>
          <w:sz w:val="28"/>
          <w:szCs w:val="28"/>
        </w:rPr>
      </w:pPr>
      <w:bookmarkStart w:id="29" w:name="_Toc413009332"/>
      <w:r w:rsidRPr="00F0732E">
        <w:rPr>
          <w:rFonts w:ascii="Cambria" w:hAnsi="Cambria"/>
          <w:color w:val="auto"/>
          <w:sz w:val="28"/>
          <w:szCs w:val="28"/>
        </w:rPr>
        <w:t>Publikačná aktivita STU</w:t>
      </w:r>
      <w:bookmarkEnd w:id="29"/>
      <w:r w:rsidR="00012C3E">
        <w:rPr>
          <w:rFonts w:ascii="Cambria" w:hAnsi="Cambria"/>
          <w:color w:val="auto"/>
          <w:sz w:val="28"/>
          <w:szCs w:val="28"/>
        </w:rPr>
        <w:t xml:space="preserve"> </w:t>
      </w:r>
    </w:p>
    <w:p w:rsidR="00B51749" w:rsidRPr="00F0732E" w:rsidRDefault="00B51749" w:rsidP="00B51749">
      <w:pPr>
        <w:rPr>
          <w:color w:val="FF0000"/>
          <w:sz w:val="28"/>
          <w:szCs w:val="28"/>
        </w:rPr>
      </w:pPr>
    </w:p>
    <w:p w:rsidR="00B51749" w:rsidRPr="00F0732E" w:rsidRDefault="00B51749" w:rsidP="00B51749">
      <w:pPr>
        <w:rPr>
          <w:sz w:val="28"/>
          <w:szCs w:val="28"/>
        </w:rPr>
      </w:pPr>
      <w:r w:rsidRPr="00F0732E">
        <w:rPr>
          <w:sz w:val="28"/>
          <w:szCs w:val="28"/>
        </w:rPr>
        <w:t>Tabuľka 5.4a dokumentuje počty jednotlivých publikačných výstupov (klasifikované podľa zaužívanej nomenklatúry A1, A2, B, C a D, používanej ministerstvom pri delení dotácie pre verejné vysoké školy) v roku 2014 podľa súčastí univerzity, pričom v </w:t>
      </w:r>
      <w:r w:rsidR="0067123B">
        <w:rPr>
          <w:sz w:val="28"/>
          <w:szCs w:val="28"/>
        </w:rPr>
        <w:t>T</w:t>
      </w:r>
      <w:r w:rsidRPr="00F0732E">
        <w:rPr>
          <w:sz w:val="28"/>
          <w:szCs w:val="28"/>
        </w:rPr>
        <w:t xml:space="preserve">abuľke 5.4b sú vyjadrené absolútne zmeny oproti roku 2013 (červeným pokles, zeleným nárast). V tabuľkách sú </w:t>
      </w:r>
      <w:r w:rsidRPr="00F0732E">
        <w:rPr>
          <w:sz w:val="28"/>
          <w:szCs w:val="28"/>
        </w:rPr>
        <w:lastRenderedPageBreak/>
        <w:t>údaje k 31.</w:t>
      </w:r>
      <w:r>
        <w:rPr>
          <w:sz w:val="28"/>
          <w:szCs w:val="28"/>
        </w:rPr>
        <w:t xml:space="preserve"> </w:t>
      </w:r>
      <w:r w:rsidRPr="00F0732E">
        <w:rPr>
          <w:sz w:val="28"/>
          <w:szCs w:val="28"/>
        </w:rPr>
        <w:t>1.</w:t>
      </w:r>
      <w:r>
        <w:rPr>
          <w:sz w:val="28"/>
          <w:szCs w:val="28"/>
        </w:rPr>
        <w:t xml:space="preserve"> </w:t>
      </w:r>
      <w:r w:rsidRPr="00F0732E">
        <w:rPr>
          <w:sz w:val="28"/>
          <w:szCs w:val="28"/>
        </w:rPr>
        <w:t>2015. Potešiteľn</w:t>
      </w:r>
      <w:r>
        <w:rPr>
          <w:sz w:val="28"/>
          <w:szCs w:val="28"/>
        </w:rPr>
        <w:t>é</w:t>
      </w:r>
      <w:r w:rsidRPr="00F0732E">
        <w:rPr>
          <w:sz w:val="28"/>
          <w:szCs w:val="28"/>
        </w:rPr>
        <w:t xml:space="preserve"> je, že v kategórii najhodnotnejších publikácií (B – karentované publikácie a C – publikácie evidované v databázach WOS a SCOPUS, ktoré nie sú karentované) nastal medziročný nárast až o 20 % v kategórii B a takmer 60 % v kategórii D v rámci celej STU. V uplynulom roku sa zaznamenal pokles publikačných výstupov v kategórií monografií t.</w:t>
      </w:r>
      <w:r>
        <w:rPr>
          <w:sz w:val="28"/>
          <w:szCs w:val="28"/>
        </w:rPr>
        <w:t xml:space="preserve"> </w:t>
      </w:r>
      <w:r w:rsidRPr="00F0732E">
        <w:rPr>
          <w:sz w:val="28"/>
          <w:szCs w:val="28"/>
        </w:rPr>
        <w:t>j. A1.</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 xml:space="preserve">Tabuľka 5.4a: Počty publikačných výstupov súčastí STU v roku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28"/>
        <w:gridCol w:w="1535"/>
        <w:gridCol w:w="1535"/>
        <w:gridCol w:w="1536"/>
        <w:gridCol w:w="1536"/>
      </w:tblGrid>
      <w:tr w:rsidR="00B51749" w:rsidRPr="00F0732E" w:rsidTr="00447572">
        <w:tc>
          <w:tcPr>
            <w:tcW w:w="1242" w:type="dxa"/>
            <w:vMerge w:val="restart"/>
            <w:shd w:val="clear" w:color="auto" w:fill="auto"/>
          </w:tcPr>
          <w:p w:rsidR="00B51749" w:rsidRPr="00F0732E" w:rsidRDefault="00B51749" w:rsidP="00447572">
            <w:pPr>
              <w:rPr>
                <w:sz w:val="28"/>
                <w:szCs w:val="28"/>
              </w:rPr>
            </w:pPr>
          </w:p>
          <w:p w:rsidR="00B51749" w:rsidRPr="00F0732E" w:rsidRDefault="00B51749" w:rsidP="00447572">
            <w:pPr>
              <w:rPr>
                <w:sz w:val="28"/>
                <w:szCs w:val="28"/>
              </w:rPr>
            </w:pPr>
          </w:p>
          <w:p w:rsidR="00B51749" w:rsidRPr="00F0732E" w:rsidRDefault="00B828C8" w:rsidP="00447572">
            <w:pPr>
              <w:rPr>
                <w:b/>
                <w:sz w:val="28"/>
                <w:szCs w:val="28"/>
              </w:rPr>
            </w:pPr>
            <w:r>
              <w:rPr>
                <w:b/>
                <w:sz w:val="28"/>
                <w:szCs w:val="28"/>
              </w:rPr>
              <w:t>2014</w:t>
            </w:r>
          </w:p>
        </w:tc>
        <w:tc>
          <w:tcPr>
            <w:tcW w:w="1828" w:type="dxa"/>
            <w:shd w:val="clear" w:color="auto" w:fill="auto"/>
          </w:tcPr>
          <w:p w:rsidR="00B51749" w:rsidRPr="00F0732E" w:rsidRDefault="00B51749" w:rsidP="00447572">
            <w:pPr>
              <w:rPr>
                <w:b/>
                <w:sz w:val="28"/>
                <w:szCs w:val="28"/>
              </w:rPr>
            </w:pPr>
            <w:r w:rsidRPr="00F0732E">
              <w:rPr>
                <w:b/>
                <w:sz w:val="28"/>
                <w:szCs w:val="28"/>
              </w:rPr>
              <w:t>A1</w:t>
            </w:r>
          </w:p>
        </w:tc>
        <w:tc>
          <w:tcPr>
            <w:tcW w:w="1535" w:type="dxa"/>
            <w:shd w:val="clear" w:color="auto" w:fill="auto"/>
          </w:tcPr>
          <w:p w:rsidR="00B51749" w:rsidRPr="00F0732E" w:rsidRDefault="00B51749" w:rsidP="00447572">
            <w:pPr>
              <w:rPr>
                <w:b/>
                <w:sz w:val="28"/>
                <w:szCs w:val="28"/>
              </w:rPr>
            </w:pPr>
            <w:r w:rsidRPr="00F0732E">
              <w:rPr>
                <w:b/>
                <w:sz w:val="28"/>
                <w:szCs w:val="28"/>
              </w:rPr>
              <w:t>A2</w:t>
            </w:r>
          </w:p>
        </w:tc>
        <w:tc>
          <w:tcPr>
            <w:tcW w:w="1535" w:type="dxa"/>
            <w:shd w:val="clear" w:color="auto" w:fill="auto"/>
          </w:tcPr>
          <w:p w:rsidR="00B51749" w:rsidRPr="00F0732E" w:rsidRDefault="00B51749" w:rsidP="00447572">
            <w:pPr>
              <w:rPr>
                <w:b/>
                <w:sz w:val="28"/>
                <w:szCs w:val="28"/>
              </w:rPr>
            </w:pPr>
            <w:r w:rsidRPr="00F0732E">
              <w:rPr>
                <w:b/>
                <w:sz w:val="28"/>
                <w:szCs w:val="28"/>
              </w:rPr>
              <w:t>B</w:t>
            </w:r>
          </w:p>
        </w:tc>
        <w:tc>
          <w:tcPr>
            <w:tcW w:w="1536" w:type="dxa"/>
            <w:shd w:val="clear" w:color="auto" w:fill="auto"/>
          </w:tcPr>
          <w:p w:rsidR="00B51749" w:rsidRPr="00F0732E" w:rsidRDefault="00B51749" w:rsidP="00447572">
            <w:pPr>
              <w:rPr>
                <w:b/>
                <w:sz w:val="28"/>
                <w:szCs w:val="28"/>
              </w:rPr>
            </w:pPr>
            <w:r w:rsidRPr="00F0732E">
              <w:rPr>
                <w:b/>
                <w:sz w:val="28"/>
                <w:szCs w:val="28"/>
              </w:rPr>
              <w:t>C</w:t>
            </w:r>
          </w:p>
        </w:tc>
        <w:tc>
          <w:tcPr>
            <w:tcW w:w="1536" w:type="dxa"/>
            <w:shd w:val="clear" w:color="auto" w:fill="auto"/>
          </w:tcPr>
          <w:p w:rsidR="00B51749" w:rsidRPr="00F0732E" w:rsidRDefault="00B51749" w:rsidP="00447572">
            <w:pPr>
              <w:rPr>
                <w:b/>
                <w:sz w:val="28"/>
                <w:szCs w:val="28"/>
              </w:rPr>
            </w:pPr>
            <w:r w:rsidRPr="00F0732E">
              <w:rPr>
                <w:b/>
                <w:sz w:val="28"/>
                <w:szCs w:val="28"/>
              </w:rPr>
              <w:t>D</w:t>
            </w:r>
          </w:p>
        </w:tc>
      </w:tr>
      <w:tr w:rsidR="00B51749" w:rsidRPr="00F0732E" w:rsidTr="00447572">
        <w:tc>
          <w:tcPr>
            <w:tcW w:w="1242" w:type="dxa"/>
            <w:vMerge/>
            <w:shd w:val="clear" w:color="auto" w:fill="auto"/>
          </w:tcPr>
          <w:p w:rsidR="00B51749" w:rsidRPr="00F0732E" w:rsidRDefault="00B51749" w:rsidP="00447572">
            <w:pPr>
              <w:rPr>
                <w:sz w:val="28"/>
                <w:szCs w:val="28"/>
              </w:rPr>
            </w:pPr>
          </w:p>
        </w:tc>
        <w:tc>
          <w:tcPr>
            <w:tcW w:w="1828" w:type="dxa"/>
            <w:shd w:val="clear" w:color="auto" w:fill="auto"/>
          </w:tcPr>
          <w:p w:rsidR="00B51749" w:rsidRPr="00F0732E" w:rsidRDefault="00B51749" w:rsidP="00447572">
            <w:pPr>
              <w:rPr>
                <w:sz w:val="28"/>
                <w:szCs w:val="28"/>
              </w:rPr>
            </w:pPr>
            <w:r w:rsidRPr="00F0732E">
              <w:rPr>
                <w:sz w:val="28"/>
                <w:szCs w:val="28"/>
              </w:rPr>
              <w:t>AAA, AAB,ABC, ABD</w:t>
            </w:r>
          </w:p>
        </w:tc>
        <w:tc>
          <w:tcPr>
            <w:tcW w:w="1535" w:type="dxa"/>
            <w:shd w:val="clear" w:color="auto" w:fill="auto"/>
          </w:tcPr>
          <w:p w:rsidR="00B51749" w:rsidRPr="00F0732E" w:rsidRDefault="00B51749" w:rsidP="00447572">
            <w:pPr>
              <w:rPr>
                <w:sz w:val="28"/>
                <w:szCs w:val="28"/>
              </w:rPr>
            </w:pPr>
            <w:r w:rsidRPr="00F0732E">
              <w:rPr>
                <w:sz w:val="28"/>
                <w:szCs w:val="28"/>
              </w:rPr>
              <w:t>ACA, ACB, BAA, BAB, BCB, BCI, CAA, CAB, EAI, EAJ, FAI</w:t>
            </w:r>
          </w:p>
        </w:tc>
        <w:tc>
          <w:tcPr>
            <w:tcW w:w="1535" w:type="dxa"/>
            <w:shd w:val="clear" w:color="auto" w:fill="auto"/>
          </w:tcPr>
          <w:p w:rsidR="00B51749" w:rsidRPr="00F0732E" w:rsidRDefault="00B51749" w:rsidP="00447572">
            <w:pPr>
              <w:rPr>
                <w:sz w:val="28"/>
                <w:szCs w:val="28"/>
              </w:rPr>
            </w:pPr>
            <w:r w:rsidRPr="00F0732E">
              <w:rPr>
                <w:sz w:val="28"/>
                <w:szCs w:val="28"/>
              </w:rPr>
              <w:t>ADC, ADD, BDC, BDD, CDC, CDD, AGJ</w:t>
            </w:r>
          </w:p>
        </w:tc>
        <w:tc>
          <w:tcPr>
            <w:tcW w:w="1536" w:type="dxa"/>
            <w:shd w:val="clear" w:color="auto" w:fill="auto"/>
          </w:tcPr>
          <w:p w:rsidR="00B51749" w:rsidRPr="00F0732E" w:rsidRDefault="00B51749" w:rsidP="00447572">
            <w:pPr>
              <w:rPr>
                <w:sz w:val="28"/>
                <w:szCs w:val="28"/>
              </w:rPr>
            </w:pPr>
            <w:r w:rsidRPr="00F0732E">
              <w:rPr>
                <w:sz w:val="28"/>
                <w:szCs w:val="28"/>
              </w:rPr>
              <w:t>ADM, ADN,BDM, BDN</w:t>
            </w:r>
          </w:p>
        </w:tc>
        <w:tc>
          <w:tcPr>
            <w:tcW w:w="1536" w:type="dxa"/>
            <w:shd w:val="clear" w:color="auto" w:fill="auto"/>
          </w:tcPr>
          <w:p w:rsidR="00B51749" w:rsidRPr="00F0732E" w:rsidRDefault="00B51749" w:rsidP="00447572">
            <w:pPr>
              <w:rPr>
                <w:sz w:val="28"/>
                <w:szCs w:val="28"/>
              </w:rPr>
            </w:pPr>
            <w:r w:rsidRPr="00F0732E">
              <w:rPr>
                <w:sz w:val="28"/>
                <w:szCs w:val="28"/>
              </w:rPr>
              <w:t>ACC,ACD, ADE, ADF, AEC, AED, AEG, AEH, AFA, AFB, AFC, AFD, AFE, AFF, AFG, AFH</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SvF</w:t>
            </w:r>
          </w:p>
        </w:tc>
        <w:tc>
          <w:tcPr>
            <w:tcW w:w="1828" w:type="dxa"/>
            <w:shd w:val="clear" w:color="auto" w:fill="auto"/>
          </w:tcPr>
          <w:p w:rsidR="00B51749" w:rsidRPr="00F0732E" w:rsidRDefault="00B51749" w:rsidP="00447572">
            <w:pPr>
              <w:rPr>
                <w:sz w:val="28"/>
                <w:szCs w:val="28"/>
              </w:rPr>
            </w:pPr>
            <w:r w:rsidRPr="00F0732E">
              <w:rPr>
                <w:sz w:val="28"/>
                <w:szCs w:val="28"/>
              </w:rPr>
              <w:t>15,00</w:t>
            </w:r>
          </w:p>
        </w:tc>
        <w:tc>
          <w:tcPr>
            <w:tcW w:w="1535" w:type="dxa"/>
            <w:shd w:val="clear" w:color="auto" w:fill="auto"/>
          </w:tcPr>
          <w:p w:rsidR="00B51749" w:rsidRPr="00F0732E" w:rsidRDefault="00B51749" w:rsidP="00447572">
            <w:pPr>
              <w:rPr>
                <w:sz w:val="28"/>
                <w:szCs w:val="28"/>
              </w:rPr>
            </w:pPr>
            <w:r w:rsidRPr="00F0732E">
              <w:rPr>
                <w:sz w:val="28"/>
                <w:szCs w:val="28"/>
              </w:rPr>
              <w:t>34,50</w:t>
            </w:r>
          </w:p>
        </w:tc>
        <w:tc>
          <w:tcPr>
            <w:tcW w:w="1535" w:type="dxa"/>
            <w:shd w:val="clear" w:color="auto" w:fill="auto"/>
          </w:tcPr>
          <w:p w:rsidR="00B51749" w:rsidRPr="00F0732E" w:rsidRDefault="00B51749" w:rsidP="00447572">
            <w:pPr>
              <w:rPr>
                <w:sz w:val="28"/>
                <w:szCs w:val="28"/>
              </w:rPr>
            </w:pPr>
            <w:r w:rsidRPr="00F0732E">
              <w:rPr>
                <w:sz w:val="28"/>
                <w:szCs w:val="28"/>
              </w:rPr>
              <w:t>46,4</w:t>
            </w:r>
          </w:p>
        </w:tc>
        <w:tc>
          <w:tcPr>
            <w:tcW w:w="1536" w:type="dxa"/>
            <w:shd w:val="clear" w:color="auto" w:fill="auto"/>
          </w:tcPr>
          <w:p w:rsidR="00B51749" w:rsidRPr="00F0732E" w:rsidRDefault="00B51749" w:rsidP="00447572">
            <w:pPr>
              <w:rPr>
                <w:sz w:val="28"/>
                <w:szCs w:val="28"/>
              </w:rPr>
            </w:pPr>
            <w:r w:rsidRPr="00F0732E">
              <w:rPr>
                <w:sz w:val="28"/>
                <w:szCs w:val="28"/>
              </w:rPr>
              <w:t>13,30</w:t>
            </w:r>
          </w:p>
        </w:tc>
        <w:tc>
          <w:tcPr>
            <w:tcW w:w="1536" w:type="dxa"/>
            <w:shd w:val="clear" w:color="auto" w:fill="auto"/>
          </w:tcPr>
          <w:p w:rsidR="00B51749" w:rsidRPr="00F0732E" w:rsidRDefault="00B51749" w:rsidP="00447572">
            <w:pPr>
              <w:rPr>
                <w:sz w:val="28"/>
                <w:szCs w:val="28"/>
              </w:rPr>
            </w:pPr>
            <w:r w:rsidRPr="00F0732E">
              <w:rPr>
                <w:sz w:val="28"/>
                <w:szCs w:val="28"/>
              </w:rPr>
              <w:t>1700,35</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SjF</w:t>
            </w:r>
          </w:p>
        </w:tc>
        <w:tc>
          <w:tcPr>
            <w:tcW w:w="1828" w:type="dxa"/>
            <w:shd w:val="clear" w:color="auto" w:fill="auto"/>
          </w:tcPr>
          <w:p w:rsidR="00B51749" w:rsidRPr="00F0732E" w:rsidRDefault="00B51749" w:rsidP="00447572">
            <w:pPr>
              <w:rPr>
                <w:sz w:val="28"/>
                <w:szCs w:val="28"/>
              </w:rPr>
            </w:pPr>
            <w:r w:rsidRPr="00F0732E">
              <w:rPr>
                <w:sz w:val="28"/>
                <w:szCs w:val="28"/>
              </w:rPr>
              <w:t>4,00</w:t>
            </w:r>
          </w:p>
        </w:tc>
        <w:tc>
          <w:tcPr>
            <w:tcW w:w="1535" w:type="dxa"/>
            <w:shd w:val="clear" w:color="auto" w:fill="auto"/>
          </w:tcPr>
          <w:p w:rsidR="00B51749" w:rsidRPr="00F0732E" w:rsidRDefault="00B51749" w:rsidP="00447572">
            <w:pPr>
              <w:rPr>
                <w:sz w:val="28"/>
                <w:szCs w:val="28"/>
              </w:rPr>
            </w:pPr>
            <w:r w:rsidRPr="00F0732E">
              <w:rPr>
                <w:sz w:val="28"/>
                <w:szCs w:val="28"/>
              </w:rPr>
              <w:t>22,00</w:t>
            </w:r>
          </w:p>
        </w:tc>
        <w:tc>
          <w:tcPr>
            <w:tcW w:w="1535" w:type="dxa"/>
            <w:shd w:val="clear" w:color="auto" w:fill="auto"/>
          </w:tcPr>
          <w:p w:rsidR="00B51749" w:rsidRPr="00F0732E" w:rsidRDefault="00B51749" w:rsidP="00447572">
            <w:pPr>
              <w:rPr>
                <w:sz w:val="28"/>
                <w:szCs w:val="28"/>
              </w:rPr>
            </w:pPr>
            <w:r w:rsidRPr="00F0732E">
              <w:rPr>
                <w:sz w:val="28"/>
                <w:szCs w:val="28"/>
              </w:rPr>
              <w:t>8,0</w:t>
            </w:r>
          </w:p>
        </w:tc>
        <w:tc>
          <w:tcPr>
            <w:tcW w:w="1536" w:type="dxa"/>
            <w:shd w:val="clear" w:color="auto" w:fill="auto"/>
          </w:tcPr>
          <w:p w:rsidR="00B51749" w:rsidRPr="00F0732E" w:rsidRDefault="00B51749" w:rsidP="00447572">
            <w:pPr>
              <w:rPr>
                <w:sz w:val="28"/>
                <w:szCs w:val="28"/>
              </w:rPr>
            </w:pPr>
            <w:r w:rsidRPr="00F0732E">
              <w:rPr>
                <w:sz w:val="28"/>
                <w:szCs w:val="28"/>
              </w:rPr>
              <w:t>13,30</w:t>
            </w:r>
          </w:p>
        </w:tc>
        <w:tc>
          <w:tcPr>
            <w:tcW w:w="1536" w:type="dxa"/>
            <w:shd w:val="clear" w:color="auto" w:fill="auto"/>
          </w:tcPr>
          <w:p w:rsidR="00B51749" w:rsidRPr="00F0732E" w:rsidRDefault="00B51749" w:rsidP="00447572">
            <w:pPr>
              <w:rPr>
                <w:sz w:val="28"/>
                <w:szCs w:val="28"/>
              </w:rPr>
            </w:pPr>
            <w:r w:rsidRPr="00F0732E">
              <w:rPr>
                <w:sz w:val="28"/>
                <w:szCs w:val="28"/>
              </w:rPr>
              <w:t>437,92</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FEI</w:t>
            </w:r>
          </w:p>
        </w:tc>
        <w:tc>
          <w:tcPr>
            <w:tcW w:w="1828" w:type="dxa"/>
            <w:shd w:val="clear" w:color="auto" w:fill="auto"/>
          </w:tcPr>
          <w:p w:rsidR="00B51749" w:rsidRPr="00F0732E" w:rsidRDefault="00B51749" w:rsidP="00447572">
            <w:pPr>
              <w:rPr>
                <w:sz w:val="28"/>
                <w:szCs w:val="28"/>
              </w:rPr>
            </w:pPr>
            <w:r w:rsidRPr="00F0732E">
              <w:rPr>
                <w:sz w:val="28"/>
                <w:szCs w:val="28"/>
              </w:rPr>
              <w:t>5,60</w:t>
            </w:r>
          </w:p>
        </w:tc>
        <w:tc>
          <w:tcPr>
            <w:tcW w:w="1535" w:type="dxa"/>
            <w:shd w:val="clear" w:color="auto" w:fill="auto"/>
          </w:tcPr>
          <w:p w:rsidR="00B51749" w:rsidRPr="00F0732E" w:rsidRDefault="00B51749" w:rsidP="00447572">
            <w:pPr>
              <w:rPr>
                <w:sz w:val="28"/>
                <w:szCs w:val="28"/>
              </w:rPr>
            </w:pPr>
            <w:r w:rsidRPr="00F0732E">
              <w:rPr>
                <w:sz w:val="28"/>
                <w:szCs w:val="28"/>
              </w:rPr>
              <w:t>31,33</w:t>
            </w:r>
          </w:p>
        </w:tc>
        <w:tc>
          <w:tcPr>
            <w:tcW w:w="1535" w:type="dxa"/>
            <w:shd w:val="clear" w:color="auto" w:fill="auto"/>
          </w:tcPr>
          <w:p w:rsidR="00B51749" w:rsidRPr="00F0732E" w:rsidRDefault="00B51749" w:rsidP="00447572">
            <w:pPr>
              <w:rPr>
                <w:sz w:val="28"/>
                <w:szCs w:val="28"/>
              </w:rPr>
            </w:pPr>
            <w:r w:rsidRPr="00F0732E">
              <w:rPr>
                <w:sz w:val="28"/>
                <w:szCs w:val="28"/>
              </w:rPr>
              <w:t>71,42</w:t>
            </w:r>
          </w:p>
        </w:tc>
        <w:tc>
          <w:tcPr>
            <w:tcW w:w="1536" w:type="dxa"/>
            <w:shd w:val="clear" w:color="auto" w:fill="auto"/>
          </w:tcPr>
          <w:p w:rsidR="00B51749" w:rsidRPr="00F0732E" w:rsidRDefault="00B51749" w:rsidP="00447572">
            <w:pPr>
              <w:rPr>
                <w:sz w:val="28"/>
                <w:szCs w:val="28"/>
              </w:rPr>
            </w:pPr>
            <w:r w:rsidRPr="00F0732E">
              <w:rPr>
                <w:sz w:val="28"/>
                <w:szCs w:val="28"/>
              </w:rPr>
              <w:t>55,76</w:t>
            </w:r>
          </w:p>
        </w:tc>
        <w:tc>
          <w:tcPr>
            <w:tcW w:w="1536" w:type="dxa"/>
            <w:shd w:val="clear" w:color="auto" w:fill="auto"/>
          </w:tcPr>
          <w:p w:rsidR="00B51749" w:rsidRPr="00F0732E" w:rsidRDefault="00B51749" w:rsidP="00447572">
            <w:pPr>
              <w:rPr>
                <w:sz w:val="28"/>
                <w:szCs w:val="28"/>
              </w:rPr>
            </w:pPr>
            <w:r w:rsidRPr="00F0732E">
              <w:rPr>
                <w:sz w:val="28"/>
                <w:szCs w:val="28"/>
              </w:rPr>
              <w:t>1086,41</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FCHPT</w:t>
            </w:r>
          </w:p>
        </w:tc>
        <w:tc>
          <w:tcPr>
            <w:tcW w:w="1828" w:type="dxa"/>
            <w:shd w:val="clear" w:color="auto" w:fill="auto"/>
          </w:tcPr>
          <w:p w:rsidR="00B51749" w:rsidRPr="00F0732E" w:rsidRDefault="00B51749" w:rsidP="00447572">
            <w:pPr>
              <w:rPr>
                <w:sz w:val="28"/>
                <w:szCs w:val="28"/>
              </w:rPr>
            </w:pPr>
            <w:r w:rsidRPr="00F0732E">
              <w:rPr>
                <w:sz w:val="28"/>
                <w:szCs w:val="28"/>
              </w:rPr>
              <w:t>3,40</w:t>
            </w:r>
          </w:p>
        </w:tc>
        <w:tc>
          <w:tcPr>
            <w:tcW w:w="1535" w:type="dxa"/>
            <w:shd w:val="clear" w:color="auto" w:fill="auto"/>
          </w:tcPr>
          <w:p w:rsidR="00B51749" w:rsidRPr="00F0732E" w:rsidRDefault="00B51749" w:rsidP="00447572">
            <w:pPr>
              <w:rPr>
                <w:sz w:val="28"/>
                <w:szCs w:val="28"/>
              </w:rPr>
            </w:pPr>
            <w:r w:rsidRPr="00F0732E">
              <w:rPr>
                <w:sz w:val="28"/>
                <w:szCs w:val="28"/>
              </w:rPr>
              <w:t>25,00</w:t>
            </w:r>
          </w:p>
        </w:tc>
        <w:tc>
          <w:tcPr>
            <w:tcW w:w="1535" w:type="dxa"/>
            <w:shd w:val="clear" w:color="auto" w:fill="auto"/>
          </w:tcPr>
          <w:p w:rsidR="00B51749" w:rsidRPr="00F0732E" w:rsidRDefault="00B51749" w:rsidP="00447572">
            <w:pPr>
              <w:rPr>
                <w:sz w:val="28"/>
                <w:szCs w:val="28"/>
              </w:rPr>
            </w:pPr>
            <w:r w:rsidRPr="00F0732E">
              <w:rPr>
                <w:sz w:val="28"/>
                <w:szCs w:val="28"/>
              </w:rPr>
              <w:t>187,85</w:t>
            </w:r>
          </w:p>
        </w:tc>
        <w:tc>
          <w:tcPr>
            <w:tcW w:w="1536" w:type="dxa"/>
            <w:shd w:val="clear" w:color="auto" w:fill="auto"/>
          </w:tcPr>
          <w:p w:rsidR="00B51749" w:rsidRPr="00F0732E" w:rsidRDefault="00B51749" w:rsidP="00447572">
            <w:pPr>
              <w:rPr>
                <w:sz w:val="28"/>
                <w:szCs w:val="28"/>
              </w:rPr>
            </w:pPr>
            <w:r w:rsidRPr="00F0732E">
              <w:rPr>
                <w:sz w:val="28"/>
                <w:szCs w:val="28"/>
              </w:rPr>
              <w:t>44,61</w:t>
            </w:r>
          </w:p>
        </w:tc>
        <w:tc>
          <w:tcPr>
            <w:tcW w:w="1536" w:type="dxa"/>
            <w:shd w:val="clear" w:color="auto" w:fill="auto"/>
          </w:tcPr>
          <w:p w:rsidR="00B51749" w:rsidRPr="00F0732E" w:rsidRDefault="00B51749" w:rsidP="00447572">
            <w:pPr>
              <w:rPr>
                <w:sz w:val="28"/>
                <w:szCs w:val="28"/>
              </w:rPr>
            </w:pPr>
            <w:r w:rsidRPr="00F0732E">
              <w:rPr>
                <w:sz w:val="28"/>
                <w:szCs w:val="28"/>
              </w:rPr>
              <w:t>1071,19</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FA</w:t>
            </w:r>
          </w:p>
        </w:tc>
        <w:tc>
          <w:tcPr>
            <w:tcW w:w="1828" w:type="dxa"/>
            <w:shd w:val="clear" w:color="auto" w:fill="auto"/>
          </w:tcPr>
          <w:p w:rsidR="00B51749" w:rsidRPr="00F0732E" w:rsidRDefault="00B51749" w:rsidP="00447572">
            <w:pPr>
              <w:rPr>
                <w:sz w:val="28"/>
                <w:szCs w:val="28"/>
              </w:rPr>
            </w:pPr>
            <w:r w:rsidRPr="00F0732E">
              <w:rPr>
                <w:sz w:val="28"/>
                <w:szCs w:val="28"/>
              </w:rPr>
              <w:t>3,22</w:t>
            </w:r>
          </w:p>
        </w:tc>
        <w:tc>
          <w:tcPr>
            <w:tcW w:w="1535" w:type="dxa"/>
            <w:shd w:val="clear" w:color="auto" w:fill="auto"/>
          </w:tcPr>
          <w:p w:rsidR="00B51749" w:rsidRPr="00F0732E" w:rsidRDefault="00B51749" w:rsidP="00447572">
            <w:pPr>
              <w:rPr>
                <w:sz w:val="28"/>
                <w:szCs w:val="28"/>
              </w:rPr>
            </w:pPr>
            <w:r w:rsidRPr="00F0732E">
              <w:rPr>
                <w:sz w:val="28"/>
                <w:szCs w:val="28"/>
              </w:rPr>
              <w:t>17,00</w:t>
            </w:r>
          </w:p>
        </w:tc>
        <w:tc>
          <w:tcPr>
            <w:tcW w:w="1535" w:type="dxa"/>
            <w:shd w:val="clear" w:color="auto" w:fill="auto"/>
          </w:tcPr>
          <w:p w:rsidR="00B51749" w:rsidRPr="00F0732E" w:rsidRDefault="00B51749" w:rsidP="00447572">
            <w:pPr>
              <w:rPr>
                <w:sz w:val="28"/>
                <w:szCs w:val="28"/>
              </w:rPr>
            </w:pPr>
            <w:r w:rsidRPr="00F0732E">
              <w:rPr>
                <w:sz w:val="28"/>
                <w:szCs w:val="28"/>
              </w:rPr>
              <w:t>0,00</w:t>
            </w:r>
          </w:p>
        </w:tc>
        <w:tc>
          <w:tcPr>
            <w:tcW w:w="1536" w:type="dxa"/>
            <w:shd w:val="clear" w:color="auto" w:fill="auto"/>
          </w:tcPr>
          <w:p w:rsidR="00B51749" w:rsidRPr="00F0732E" w:rsidRDefault="00B51749" w:rsidP="00447572">
            <w:pPr>
              <w:rPr>
                <w:sz w:val="28"/>
                <w:szCs w:val="28"/>
              </w:rPr>
            </w:pPr>
            <w:r w:rsidRPr="00F0732E">
              <w:rPr>
                <w:sz w:val="28"/>
                <w:szCs w:val="28"/>
              </w:rPr>
              <w:t>4,00</w:t>
            </w:r>
          </w:p>
        </w:tc>
        <w:tc>
          <w:tcPr>
            <w:tcW w:w="1536" w:type="dxa"/>
            <w:shd w:val="clear" w:color="auto" w:fill="auto"/>
          </w:tcPr>
          <w:p w:rsidR="00B51749" w:rsidRPr="00F0732E" w:rsidRDefault="00B51749" w:rsidP="00447572">
            <w:pPr>
              <w:rPr>
                <w:sz w:val="28"/>
                <w:szCs w:val="28"/>
              </w:rPr>
            </w:pPr>
            <w:r w:rsidRPr="00F0732E">
              <w:rPr>
                <w:sz w:val="28"/>
                <w:szCs w:val="28"/>
              </w:rPr>
              <w:t>635,29</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MTF</w:t>
            </w:r>
          </w:p>
        </w:tc>
        <w:tc>
          <w:tcPr>
            <w:tcW w:w="1828" w:type="dxa"/>
            <w:shd w:val="clear" w:color="auto" w:fill="auto"/>
          </w:tcPr>
          <w:p w:rsidR="00B51749" w:rsidRPr="00F0732E" w:rsidRDefault="00B51749" w:rsidP="00447572">
            <w:pPr>
              <w:rPr>
                <w:sz w:val="28"/>
                <w:szCs w:val="28"/>
              </w:rPr>
            </w:pPr>
            <w:r w:rsidRPr="00F0732E">
              <w:rPr>
                <w:sz w:val="28"/>
                <w:szCs w:val="28"/>
              </w:rPr>
              <w:t>13,00</w:t>
            </w:r>
          </w:p>
        </w:tc>
        <w:tc>
          <w:tcPr>
            <w:tcW w:w="1535" w:type="dxa"/>
            <w:shd w:val="clear" w:color="auto" w:fill="auto"/>
          </w:tcPr>
          <w:p w:rsidR="00B51749" w:rsidRPr="00F0732E" w:rsidRDefault="00B51749" w:rsidP="00447572">
            <w:pPr>
              <w:rPr>
                <w:sz w:val="28"/>
                <w:szCs w:val="28"/>
              </w:rPr>
            </w:pPr>
            <w:r w:rsidRPr="00F0732E">
              <w:rPr>
                <w:sz w:val="28"/>
                <w:szCs w:val="28"/>
              </w:rPr>
              <w:t>29,83</w:t>
            </w:r>
          </w:p>
        </w:tc>
        <w:tc>
          <w:tcPr>
            <w:tcW w:w="1535" w:type="dxa"/>
            <w:shd w:val="clear" w:color="auto" w:fill="auto"/>
          </w:tcPr>
          <w:p w:rsidR="00B51749" w:rsidRPr="00F0732E" w:rsidRDefault="00B51749" w:rsidP="00447572">
            <w:pPr>
              <w:rPr>
                <w:sz w:val="28"/>
                <w:szCs w:val="28"/>
              </w:rPr>
            </w:pPr>
            <w:r w:rsidRPr="00F0732E">
              <w:rPr>
                <w:sz w:val="28"/>
                <w:szCs w:val="28"/>
              </w:rPr>
              <w:t>28,75</w:t>
            </w:r>
          </w:p>
        </w:tc>
        <w:tc>
          <w:tcPr>
            <w:tcW w:w="1536" w:type="dxa"/>
            <w:shd w:val="clear" w:color="auto" w:fill="auto"/>
          </w:tcPr>
          <w:p w:rsidR="00B51749" w:rsidRPr="00F0732E" w:rsidRDefault="00B51749" w:rsidP="00447572">
            <w:pPr>
              <w:rPr>
                <w:sz w:val="28"/>
                <w:szCs w:val="28"/>
              </w:rPr>
            </w:pPr>
            <w:r w:rsidRPr="00F0732E">
              <w:rPr>
                <w:sz w:val="28"/>
                <w:szCs w:val="28"/>
              </w:rPr>
              <w:t>21,03</w:t>
            </w:r>
          </w:p>
        </w:tc>
        <w:tc>
          <w:tcPr>
            <w:tcW w:w="1536" w:type="dxa"/>
            <w:shd w:val="clear" w:color="auto" w:fill="auto"/>
          </w:tcPr>
          <w:p w:rsidR="00B51749" w:rsidRPr="00F0732E" w:rsidRDefault="00B51749" w:rsidP="00447572">
            <w:pPr>
              <w:rPr>
                <w:sz w:val="28"/>
                <w:szCs w:val="28"/>
              </w:rPr>
            </w:pPr>
            <w:r w:rsidRPr="00F0732E">
              <w:rPr>
                <w:sz w:val="28"/>
                <w:szCs w:val="28"/>
              </w:rPr>
              <w:t>684,28</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FIIT</w:t>
            </w:r>
          </w:p>
        </w:tc>
        <w:tc>
          <w:tcPr>
            <w:tcW w:w="1828" w:type="dxa"/>
            <w:shd w:val="clear" w:color="auto" w:fill="auto"/>
          </w:tcPr>
          <w:p w:rsidR="00B51749" w:rsidRPr="00F0732E" w:rsidRDefault="00B51749" w:rsidP="00447572">
            <w:pPr>
              <w:rPr>
                <w:sz w:val="28"/>
                <w:szCs w:val="28"/>
              </w:rPr>
            </w:pPr>
            <w:r w:rsidRPr="00F0732E">
              <w:rPr>
                <w:sz w:val="28"/>
                <w:szCs w:val="28"/>
              </w:rPr>
              <w:t>0,00</w:t>
            </w:r>
          </w:p>
        </w:tc>
        <w:tc>
          <w:tcPr>
            <w:tcW w:w="1535" w:type="dxa"/>
            <w:shd w:val="clear" w:color="auto" w:fill="auto"/>
          </w:tcPr>
          <w:p w:rsidR="00B51749" w:rsidRPr="00F0732E" w:rsidRDefault="00B51749" w:rsidP="00447572">
            <w:pPr>
              <w:rPr>
                <w:sz w:val="28"/>
                <w:szCs w:val="28"/>
              </w:rPr>
            </w:pPr>
            <w:r w:rsidRPr="00F0732E">
              <w:rPr>
                <w:sz w:val="28"/>
                <w:szCs w:val="28"/>
              </w:rPr>
              <w:t>3,67</w:t>
            </w:r>
          </w:p>
        </w:tc>
        <w:tc>
          <w:tcPr>
            <w:tcW w:w="1535" w:type="dxa"/>
            <w:shd w:val="clear" w:color="auto" w:fill="auto"/>
          </w:tcPr>
          <w:p w:rsidR="00B51749" w:rsidRPr="00F0732E" w:rsidRDefault="00B51749" w:rsidP="00447572">
            <w:pPr>
              <w:rPr>
                <w:sz w:val="28"/>
                <w:szCs w:val="28"/>
              </w:rPr>
            </w:pPr>
            <w:r w:rsidRPr="00F0732E">
              <w:rPr>
                <w:sz w:val="28"/>
                <w:szCs w:val="28"/>
              </w:rPr>
              <w:t>3,50</w:t>
            </w:r>
          </w:p>
        </w:tc>
        <w:tc>
          <w:tcPr>
            <w:tcW w:w="1536" w:type="dxa"/>
            <w:shd w:val="clear" w:color="auto" w:fill="auto"/>
          </w:tcPr>
          <w:p w:rsidR="00B51749" w:rsidRPr="00F0732E" w:rsidRDefault="00B51749" w:rsidP="00447572">
            <w:pPr>
              <w:rPr>
                <w:sz w:val="28"/>
                <w:szCs w:val="28"/>
              </w:rPr>
            </w:pPr>
            <w:r w:rsidRPr="00F0732E">
              <w:rPr>
                <w:sz w:val="28"/>
                <w:szCs w:val="28"/>
              </w:rPr>
              <w:t>3,00</w:t>
            </w:r>
          </w:p>
        </w:tc>
        <w:tc>
          <w:tcPr>
            <w:tcW w:w="1536" w:type="dxa"/>
            <w:shd w:val="clear" w:color="auto" w:fill="auto"/>
          </w:tcPr>
          <w:p w:rsidR="00B51749" w:rsidRPr="00F0732E" w:rsidRDefault="00B51749" w:rsidP="00447572">
            <w:pPr>
              <w:rPr>
                <w:sz w:val="28"/>
                <w:szCs w:val="28"/>
              </w:rPr>
            </w:pPr>
            <w:r w:rsidRPr="00F0732E">
              <w:rPr>
                <w:sz w:val="28"/>
                <w:szCs w:val="28"/>
              </w:rPr>
              <w:t>248,25</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ÚM</w:t>
            </w:r>
          </w:p>
        </w:tc>
        <w:tc>
          <w:tcPr>
            <w:tcW w:w="1828" w:type="dxa"/>
            <w:shd w:val="clear" w:color="auto" w:fill="auto"/>
          </w:tcPr>
          <w:p w:rsidR="00B51749" w:rsidRPr="00F0732E" w:rsidRDefault="00B51749" w:rsidP="00447572">
            <w:pPr>
              <w:rPr>
                <w:sz w:val="28"/>
                <w:szCs w:val="28"/>
              </w:rPr>
            </w:pPr>
            <w:r w:rsidRPr="00F0732E">
              <w:rPr>
                <w:sz w:val="28"/>
                <w:szCs w:val="28"/>
              </w:rPr>
              <w:t>4,78</w:t>
            </w:r>
          </w:p>
        </w:tc>
        <w:tc>
          <w:tcPr>
            <w:tcW w:w="1535" w:type="dxa"/>
            <w:shd w:val="clear" w:color="auto" w:fill="auto"/>
          </w:tcPr>
          <w:p w:rsidR="00B51749" w:rsidRPr="00F0732E" w:rsidRDefault="00B51749" w:rsidP="00447572">
            <w:pPr>
              <w:rPr>
                <w:sz w:val="28"/>
                <w:szCs w:val="28"/>
              </w:rPr>
            </w:pPr>
            <w:r w:rsidRPr="00F0732E">
              <w:rPr>
                <w:sz w:val="28"/>
                <w:szCs w:val="28"/>
              </w:rPr>
              <w:t>24,67</w:t>
            </w:r>
          </w:p>
        </w:tc>
        <w:tc>
          <w:tcPr>
            <w:tcW w:w="1535" w:type="dxa"/>
            <w:shd w:val="clear" w:color="auto" w:fill="auto"/>
          </w:tcPr>
          <w:p w:rsidR="00B51749" w:rsidRPr="00F0732E" w:rsidRDefault="00B51749" w:rsidP="00447572">
            <w:pPr>
              <w:rPr>
                <w:sz w:val="28"/>
                <w:szCs w:val="28"/>
              </w:rPr>
            </w:pPr>
            <w:r w:rsidRPr="00F0732E">
              <w:rPr>
                <w:sz w:val="28"/>
                <w:szCs w:val="28"/>
              </w:rPr>
              <w:t>1,00</w:t>
            </w:r>
          </w:p>
        </w:tc>
        <w:tc>
          <w:tcPr>
            <w:tcW w:w="1536" w:type="dxa"/>
            <w:shd w:val="clear" w:color="auto" w:fill="auto"/>
          </w:tcPr>
          <w:p w:rsidR="00B51749" w:rsidRPr="00F0732E" w:rsidRDefault="00B51749" w:rsidP="00447572">
            <w:pPr>
              <w:rPr>
                <w:sz w:val="28"/>
                <w:szCs w:val="28"/>
              </w:rPr>
            </w:pPr>
            <w:r w:rsidRPr="00F0732E">
              <w:rPr>
                <w:sz w:val="28"/>
                <w:szCs w:val="28"/>
              </w:rPr>
              <w:t>0,00</w:t>
            </w:r>
          </w:p>
        </w:tc>
        <w:tc>
          <w:tcPr>
            <w:tcW w:w="1536" w:type="dxa"/>
            <w:shd w:val="clear" w:color="auto" w:fill="auto"/>
          </w:tcPr>
          <w:p w:rsidR="00B51749" w:rsidRPr="00F0732E" w:rsidRDefault="00B51749" w:rsidP="00447572">
            <w:pPr>
              <w:rPr>
                <w:sz w:val="28"/>
                <w:szCs w:val="28"/>
              </w:rPr>
            </w:pPr>
            <w:r w:rsidRPr="00F0732E">
              <w:rPr>
                <w:sz w:val="28"/>
                <w:szCs w:val="28"/>
              </w:rPr>
              <w:t>206,30</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STU</w:t>
            </w:r>
          </w:p>
        </w:tc>
        <w:tc>
          <w:tcPr>
            <w:tcW w:w="1828" w:type="dxa"/>
            <w:shd w:val="clear" w:color="auto" w:fill="auto"/>
          </w:tcPr>
          <w:p w:rsidR="00B51749" w:rsidRPr="00F0732E" w:rsidRDefault="00B51749" w:rsidP="00447572">
            <w:pPr>
              <w:rPr>
                <w:b/>
                <w:sz w:val="28"/>
                <w:szCs w:val="28"/>
              </w:rPr>
            </w:pPr>
            <w:r w:rsidRPr="00F0732E">
              <w:rPr>
                <w:b/>
                <w:sz w:val="28"/>
                <w:szCs w:val="28"/>
              </w:rPr>
              <w:t>49,00</w:t>
            </w:r>
          </w:p>
        </w:tc>
        <w:tc>
          <w:tcPr>
            <w:tcW w:w="1535" w:type="dxa"/>
            <w:shd w:val="clear" w:color="auto" w:fill="auto"/>
          </w:tcPr>
          <w:p w:rsidR="00B51749" w:rsidRPr="00F0732E" w:rsidRDefault="00B51749" w:rsidP="00447572">
            <w:pPr>
              <w:rPr>
                <w:b/>
                <w:sz w:val="28"/>
                <w:szCs w:val="28"/>
              </w:rPr>
            </w:pPr>
            <w:r w:rsidRPr="00F0732E">
              <w:rPr>
                <w:b/>
                <w:sz w:val="28"/>
                <w:szCs w:val="28"/>
              </w:rPr>
              <w:t>179,00</w:t>
            </w:r>
          </w:p>
        </w:tc>
        <w:tc>
          <w:tcPr>
            <w:tcW w:w="1535" w:type="dxa"/>
            <w:shd w:val="clear" w:color="auto" w:fill="auto"/>
          </w:tcPr>
          <w:p w:rsidR="00B51749" w:rsidRPr="00F0732E" w:rsidRDefault="00B51749" w:rsidP="00447572">
            <w:pPr>
              <w:rPr>
                <w:b/>
                <w:sz w:val="28"/>
                <w:szCs w:val="28"/>
              </w:rPr>
            </w:pPr>
            <w:r w:rsidRPr="00F0732E">
              <w:rPr>
                <w:b/>
                <w:sz w:val="28"/>
                <w:szCs w:val="28"/>
              </w:rPr>
              <w:t>347,00</w:t>
            </w:r>
          </w:p>
        </w:tc>
        <w:tc>
          <w:tcPr>
            <w:tcW w:w="1536" w:type="dxa"/>
            <w:shd w:val="clear" w:color="auto" w:fill="auto"/>
          </w:tcPr>
          <w:p w:rsidR="00B51749" w:rsidRPr="00F0732E" w:rsidRDefault="00B51749" w:rsidP="00447572">
            <w:pPr>
              <w:rPr>
                <w:b/>
                <w:sz w:val="28"/>
                <w:szCs w:val="28"/>
              </w:rPr>
            </w:pPr>
            <w:r w:rsidRPr="00F0732E">
              <w:rPr>
                <w:b/>
                <w:sz w:val="28"/>
                <w:szCs w:val="28"/>
              </w:rPr>
              <w:t>155,00</w:t>
            </w:r>
          </w:p>
        </w:tc>
        <w:tc>
          <w:tcPr>
            <w:tcW w:w="1536" w:type="dxa"/>
            <w:shd w:val="clear" w:color="auto" w:fill="auto"/>
          </w:tcPr>
          <w:p w:rsidR="00B51749" w:rsidRPr="00F0732E" w:rsidRDefault="00B51749" w:rsidP="00447572">
            <w:pPr>
              <w:rPr>
                <w:b/>
                <w:sz w:val="28"/>
                <w:szCs w:val="28"/>
              </w:rPr>
            </w:pPr>
            <w:r w:rsidRPr="00F0732E">
              <w:rPr>
                <w:b/>
                <w:sz w:val="28"/>
                <w:szCs w:val="28"/>
              </w:rPr>
              <w:t>6070,00</w:t>
            </w:r>
          </w:p>
        </w:tc>
      </w:tr>
    </w:tbl>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Tabuľka 5.4b: Zmeny v absolútnych počtoch publikačných výstupov oproti roku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28"/>
        <w:gridCol w:w="1535"/>
        <w:gridCol w:w="1535"/>
        <w:gridCol w:w="1536"/>
        <w:gridCol w:w="1536"/>
      </w:tblGrid>
      <w:tr w:rsidR="00B51749" w:rsidRPr="00F0732E" w:rsidTr="00447572">
        <w:tc>
          <w:tcPr>
            <w:tcW w:w="1242" w:type="dxa"/>
            <w:vMerge w:val="restart"/>
            <w:shd w:val="clear" w:color="auto" w:fill="auto"/>
          </w:tcPr>
          <w:p w:rsidR="00B51749" w:rsidRPr="00F0732E" w:rsidRDefault="00B51749" w:rsidP="00447572">
            <w:pPr>
              <w:rPr>
                <w:sz w:val="28"/>
                <w:szCs w:val="28"/>
              </w:rPr>
            </w:pPr>
          </w:p>
          <w:p w:rsidR="00B51749" w:rsidRPr="00F0732E" w:rsidRDefault="00B51749" w:rsidP="00447572">
            <w:pPr>
              <w:rPr>
                <w:b/>
                <w:sz w:val="28"/>
                <w:szCs w:val="28"/>
              </w:rPr>
            </w:pPr>
            <w:r w:rsidRPr="00F0732E">
              <w:rPr>
                <w:b/>
                <w:sz w:val="28"/>
                <w:szCs w:val="28"/>
              </w:rPr>
              <w:t>2014</w:t>
            </w:r>
          </w:p>
          <w:p w:rsidR="00B51749" w:rsidRPr="00F0732E" w:rsidRDefault="00B51749" w:rsidP="00447572">
            <w:pPr>
              <w:rPr>
                <w:b/>
                <w:sz w:val="28"/>
                <w:szCs w:val="28"/>
              </w:rPr>
            </w:pPr>
            <w:r w:rsidRPr="00F0732E">
              <w:rPr>
                <w:b/>
                <w:sz w:val="28"/>
                <w:szCs w:val="28"/>
              </w:rPr>
              <w:t>-</w:t>
            </w:r>
          </w:p>
          <w:p w:rsidR="00B51749" w:rsidRPr="00F0732E" w:rsidRDefault="00B51749" w:rsidP="00447572">
            <w:pPr>
              <w:rPr>
                <w:b/>
                <w:sz w:val="28"/>
                <w:szCs w:val="28"/>
              </w:rPr>
            </w:pPr>
            <w:r w:rsidRPr="00F0732E">
              <w:rPr>
                <w:b/>
                <w:sz w:val="28"/>
                <w:szCs w:val="28"/>
              </w:rPr>
              <w:t>2013</w:t>
            </w:r>
          </w:p>
        </w:tc>
        <w:tc>
          <w:tcPr>
            <w:tcW w:w="1828" w:type="dxa"/>
            <w:shd w:val="clear" w:color="auto" w:fill="auto"/>
          </w:tcPr>
          <w:p w:rsidR="00B51749" w:rsidRPr="00F0732E" w:rsidRDefault="00B51749" w:rsidP="00447572">
            <w:pPr>
              <w:rPr>
                <w:b/>
                <w:sz w:val="28"/>
                <w:szCs w:val="28"/>
              </w:rPr>
            </w:pPr>
            <w:r w:rsidRPr="00F0732E">
              <w:rPr>
                <w:b/>
                <w:sz w:val="28"/>
                <w:szCs w:val="28"/>
              </w:rPr>
              <w:t>A1</w:t>
            </w:r>
          </w:p>
        </w:tc>
        <w:tc>
          <w:tcPr>
            <w:tcW w:w="1535" w:type="dxa"/>
            <w:shd w:val="clear" w:color="auto" w:fill="auto"/>
          </w:tcPr>
          <w:p w:rsidR="00B51749" w:rsidRPr="00F0732E" w:rsidRDefault="00B51749" w:rsidP="00447572">
            <w:pPr>
              <w:rPr>
                <w:b/>
                <w:sz w:val="28"/>
                <w:szCs w:val="28"/>
              </w:rPr>
            </w:pPr>
            <w:r w:rsidRPr="00F0732E">
              <w:rPr>
                <w:b/>
                <w:sz w:val="28"/>
                <w:szCs w:val="28"/>
              </w:rPr>
              <w:t>A2</w:t>
            </w:r>
          </w:p>
        </w:tc>
        <w:tc>
          <w:tcPr>
            <w:tcW w:w="1535" w:type="dxa"/>
            <w:shd w:val="clear" w:color="auto" w:fill="auto"/>
          </w:tcPr>
          <w:p w:rsidR="00B51749" w:rsidRPr="00F0732E" w:rsidRDefault="00B51749" w:rsidP="00447572">
            <w:pPr>
              <w:rPr>
                <w:b/>
                <w:sz w:val="28"/>
                <w:szCs w:val="28"/>
              </w:rPr>
            </w:pPr>
            <w:r w:rsidRPr="00F0732E">
              <w:rPr>
                <w:b/>
                <w:sz w:val="28"/>
                <w:szCs w:val="28"/>
              </w:rPr>
              <w:t>B</w:t>
            </w:r>
          </w:p>
        </w:tc>
        <w:tc>
          <w:tcPr>
            <w:tcW w:w="1536" w:type="dxa"/>
            <w:shd w:val="clear" w:color="auto" w:fill="auto"/>
          </w:tcPr>
          <w:p w:rsidR="00B51749" w:rsidRPr="00F0732E" w:rsidRDefault="00B51749" w:rsidP="00447572">
            <w:pPr>
              <w:rPr>
                <w:b/>
                <w:sz w:val="28"/>
                <w:szCs w:val="28"/>
              </w:rPr>
            </w:pPr>
            <w:r w:rsidRPr="00F0732E">
              <w:rPr>
                <w:b/>
                <w:sz w:val="28"/>
                <w:szCs w:val="28"/>
              </w:rPr>
              <w:t>C</w:t>
            </w:r>
          </w:p>
        </w:tc>
        <w:tc>
          <w:tcPr>
            <w:tcW w:w="1536" w:type="dxa"/>
            <w:shd w:val="clear" w:color="auto" w:fill="auto"/>
          </w:tcPr>
          <w:p w:rsidR="00B51749" w:rsidRPr="00F0732E" w:rsidRDefault="00B51749" w:rsidP="00447572">
            <w:pPr>
              <w:rPr>
                <w:b/>
                <w:sz w:val="28"/>
                <w:szCs w:val="28"/>
              </w:rPr>
            </w:pPr>
            <w:r w:rsidRPr="00F0732E">
              <w:rPr>
                <w:b/>
                <w:sz w:val="28"/>
                <w:szCs w:val="28"/>
              </w:rPr>
              <w:t>D</w:t>
            </w:r>
          </w:p>
        </w:tc>
      </w:tr>
      <w:tr w:rsidR="00B51749" w:rsidRPr="00F0732E" w:rsidTr="00447572">
        <w:tc>
          <w:tcPr>
            <w:tcW w:w="1242" w:type="dxa"/>
            <w:vMerge/>
            <w:shd w:val="clear" w:color="auto" w:fill="auto"/>
          </w:tcPr>
          <w:p w:rsidR="00B51749" w:rsidRPr="00F0732E" w:rsidRDefault="00B51749" w:rsidP="00447572">
            <w:pPr>
              <w:rPr>
                <w:sz w:val="28"/>
                <w:szCs w:val="28"/>
              </w:rPr>
            </w:pPr>
          </w:p>
        </w:tc>
        <w:tc>
          <w:tcPr>
            <w:tcW w:w="1828" w:type="dxa"/>
            <w:tcBorders>
              <w:bottom w:val="single" w:sz="4" w:space="0" w:color="auto"/>
            </w:tcBorders>
            <w:shd w:val="clear" w:color="auto" w:fill="auto"/>
          </w:tcPr>
          <w:p w:rsidR="00B51749" w:rsidRPr="00F0732E" w:rsidRDefault="00B51749" w:rsidP="00447572">
            <w:pPr>
              <w:rPr>
                <w:sz w:val="28"/>
                <w:szCs w:val="28"/>
              </w:rPr>
            </w:pPr>
            <w:r w:rsidRPr="00F0732E">
              <w:rPr>
                <w:sz w:val="28"/>
                <w:szCs w:val="28"/>
              </w:rPr>
              <w:t>AAA, AAB,ABC, ABD</w:t>
            </w:r>
          </w:p>
        </w:tc>
        <w:tc>
          <w:tcPr>
            <w:tcW w:w="1535" w:type="dxa"/>
            <w:tcBorders>
              <w:bottom w:val="single" w:sz="4" w:space="0" w:color="auto"/>
            </w:tcBorders>
            <w:shd w:val="clear" w:color="auto" w:fill="auto"/>
          </w:tcPr>
          <w:p w:rsidR="00B51749" w:rsidRPr="00F0732E" w:rsidRDefault="00B51749" w:rsidP="00447572">
            <w:pPr>
              <w:rPr>
                <w:sz w:val="28"/>
                <w:szCs w:val="28"/>
              </w:rPr>
            </w:pPr>
            <w:r w:rsidRPr="00F0732E">
              <w:rPr>
                <w:sz w:val="28"/>
                <w:szCs w:val="28"/>
              </w:rPr>
              <w:t>ACA, ACB, BAA, BAB, BCB, BCI, CAA, CAB, EAI, EAJ, FAI</w:t>
            </w:r>
          </w:p>
        </w:tc>
        <w:tc>
          <w:tcPr>
            <w:tcW w:w="1535" w:type="dxa"/>
            <w:tcBorders>
              <w:bottom w:val="single" w:sz="4" w:space="0" w:color="auto"/>
            </w:tcBorders>
            <w:shd w:val="clear" w:color="auto" w:fill="auto"/>
          </w:tcPr>
          <w:p w:rsidR="00B51749" w:rsidRPr="00F0732E" w:rsidRDefault="00B51749" w:rsidP="00447572">
            <w:pPr>
              <w:rPr>
                <w:sz w:val="28"/>
                <w:szCs w:val="28"/>
              </w:rPr>
            </w:pPr>
            <w:r w:rsidRPr="00F0732E">
              <w:rPr>
                <w:sz w:val="28"/>
                <w:szCs w:val="28"/>
              </w:rPr>
              <w:t>ADC, ADD, BDC, BDD, CDC, CDD, AGJ</w:t>
            </w:r>
          </w:p>
        </w:tc>
        <w:tc>
          <w:tcPr>
            <w:tcW w:w="1536" w:type="dxa"/>
            <w:tcBorders>
              <w:bottom w:val="single" w:sz="4" w:space="0" w:color="auto"/>
            </w:tcBorders>
            <w:shd w:val="clear" w:color="auto" w:fill="auto"/>
          </w:tcPr>
          <w:p w:rsidR="00B51749" w:rsidRPr="00F0732E" w:rsidRDefault="00B51749" w:rsidP="00447572">
            <w:pPr>
              <w:rPr>
                <w:sz w:val="28"/>
                <w:szCs w:val="28"/>
              </w:rPr>
            </w:pPr>
            <w:r w:rsidRPr="00F0732E">
              <w:rPr>
                <w:sz w:val="28"/>
                <w:szCs w:val="28"/>
              </w:rPr>
              <w:t>ADM, ADN,BDM, BDN</w:t>
            </w:r>
          </w:p>
        </w:tc>
        <w:tc>
          <w:tcPr>
            <w:tcW w:w="1536" w:type="dxa"/>
            <w:tcBorders>
              <w:bottom w:val="single" w:sz="4" w:space="0" w:color="auto"/>
            </w:tcBorders>
            <w:shd w:val="clear" w:color="auto" w:fill="auto"/>
          </w:tcPr>
          <w:p w:rsidR="00B51749" w:rsidRPr="00F0732E" w:rsidRDefault="00B51749" w:rsidP="00447572">
            <w:pPr>
              <w:rPr>
                <w:sz w:val="28"/>
                <w:szCs w:val="28"/>
              </w:rPr>
            </w:pPr>
            <w:r w:rsidRPr="00F0732E">
              <w:rPr>
                <w:sz w:val="28"/>
                <w:szCs w:val="28"/>
              </w:rPr>
              <w:t>ACC,ACD, ADE, ADF, AEC, AED, AEG, AEH, AFA, AFB, AFC, AFD, AFE, AFF, AFG, AFH</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SvF</w:t>
            </w:r>
          </w:p>
        </w:tc>
        <w:tc>
          <w:tcPr>
            <w:tcW w:w="1828"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2,19</w:t>
            </w:r>
          </w:p>
        </w:tc>
        <w:tc>
          <w:tcPr>
            <w:tcW w:w="1535" w:type="dxa"/>
            <w:tcBorders>
              <w:bottom w:val="single" w:sz="4" w:space="0" w:color="auto"/>
            </w:tcBorders>
            <w:shd w:val="clear" w:color="auto" w:fill="00B050"/>
            <w:vAlign w:val="bottom"/>
          </w:tcPr>
          <w:p w:rsidR="00B51749" w:rsidRPr="00F0732E" w:rsidRDefault="00B51749" w:rsidP="00447572">
            <w:pPr>
              <w:rPr>
                <w:color w:val="000000"/>
                <w:sz w:val="28"/>
                <w:szCs w:val="28"/>
              </w:rPr>
            </w:pPr>
            <w:r w:rsidRPr="00F0732E">
              <w:rPr>
                <w:color w:val="000000"/>
                <w:sz w:val="28"/>
                <w:szCs w:val="28"/>
              </w:rPr>
              <w:t>13,95</w:t>
            </w:r>
          </w:p>
        </w:tc>
        <w:tc>
          <w:tcPr>
            <w:tcW w:w="1535" w:type="dxa"/>
            <w:tcBorders>
              <w:bottom w:val="single" w:sz="4" w:space="0" w:color="auto"/>
            </w:tcBorders>
            <w:shd w:val="clear" w:color="auto" w:fill="00B050"/>
            <w:vAlign w:val="bottom"/>
          </w:tcPr>
          <w:p w:rsidR="00B51749" w:rsidRPr="00F0732E" w:rsidRDefault="00B51749" w:rsidP="00447572">
            <w:pPr>
              <w:rPr>
                <w:color w:val="000000"/>
                <w:sz w:val="28"/>
                <w:szCs w:val="28"/>
              </w:rPr>
            </w:pPr>
            <w:r w:rsidRPr="00F0732E">
              <w:rPr>
                <w:color w:val="000000"/>
                <w:sz w:val="28"/>
                <w:szCs w:val="28"/>
              </w:rPr>
              <w:t>4,99</w:t>
            </w:r>
          </w:p>
        </w:tc>
        <w:tc>
          <w:tcPr>
            <w:tcW w:w="1536" w:type="dxa"/>
            <w:tcBorders>
              <w:bottom w:val="single" w:sz="4" w:space="0" w:color="auto"/>
            </w:tcBorders>
            <w:shd w:val="clear" w:color="auto" w:fill="00B050"/>
            <w:vAlign w:val="bottom"/>
          </w:tcPr>
          <w:p w:rsidR="00B51749" w:rsidRPr="00F0732E" w:rsidRDefault="00B51749" w:rsidP="00447572">
            <w:pPr>
              <w:rPr>
                <w:color w:val="000000"/>
                <w:sz w:val="28"/>
                <w:szCs w:val="28"/>
              </w:rPr>
            </w:pPr>
            <w:r w:rsidRPr="00F0732E">
              <w:rPr>
                <w:color w:val="000000"/>
                <w:sz w:val="28"/>
                <w:szCs w:val="28"/>
              </w:rPr>
              <w:t>32,70</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-201,09</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SjF</w:t>
            </w:r>
          </w:p>
        </w:tc>
        <w:tc>
          <w:tcPr>
            <w:tcW w:w="1828"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-0,46</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6,00</w:t>
            </w:r>
          </w:p>
        </w:tc>
        <w:tc>
          <w:tcPr>
            <w:tcW w:w="1535" w:type="dxa"/>
            <w:tcBorders>
              <w:bottom w:val="single" w:sz="4" w:space="0" w:color="auto"/>
            </w:tcBorders>
            <w:shd w:val="clear" w:color="auto" w:fill="00B050"/>
            <w:vAlign w:val="bottom"/>
          </w:tcPr>
          <w:p w:rsidR="00B51749" w:rsidRPr="00F0732E" w:rsidRDefault="00B51749" w:rsidP="00447572">
            <w:pPr>
              <w:rPr>
                <w:color w:val="000000"/>
                <w:sz w:val="28"/>
                <w:szCs w:val="28"/>
              </w:rPr>
            </w:pPr>
            <w:r w:rsidRPr="00F0732E">
              <w:rPr>
                <w:color w:val="000000"/>
                <w:sz w:val="28"/>
                <w:szCs w:val="28"/>
              </w:rPr>
              <w:t>3,40</w:t>
            </w:r>
          </w:p>
        </w:tc>
        <w:tc>
          <w:tcPr>
            <w:tcW w:w="1536"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10,70</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-103,52</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FEI</w:t>
            </w:r>
          </w:p>
        </w:tc>
        <w:tc>
          <w:tcPr>
            <w:tcW w:w="1828"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1,84</w:t>
            </w:r>
          </w:p>
        </w:tc>
        <w:tc>
          <w:tcPr>
            <w:tcW w:w="1535"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-4,54</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25,20</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-4,86</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-206,66</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FCHPT</w:t>
            </w:r>
          </w:p>
        </w:tc>
        <w:tc>
          <w:tcPr>
            <w:tcW w:w="1828"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-2,22</w:t>
            </w:r>
          </w:p>
        </w:tc>
        <w:tc>
          <w:tcPr>
            <w:tcW w:w="1535"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-17,00</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20,21</w:t>
            </w:r>
          </w:p>
        </w:tc>
        <w:tc>
          <w:tcPr>
            <w:tcW w:w="1536"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-33,61</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-294,84</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lastRenderedPageBreak/>
              <w:t>FA</w:t>
            </w:r>
          </w:p>
        </w:tc>
        <w:tc>
          <w:tcPr>
            <w:tcW w:w="1828"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-1,22</w:t>
            </w:r>
          </w:p>
        </w:tc>
        <w:tc>
          <w:tcPr>
            <w:tcW w:w="1535"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-9,00</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0,00</w:t>
            </w:r>
          </w:p>
        </w:tc>
        <w:tc>
          <w:tcPr>
            <w:tcW w:w="1536"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1,00</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-269,83</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MTF</w:t>
            </w:r>
          </w:p>
        </w:tc>
        <w:tc>
          <w:tcPr>
            <w:tcW w:w="1828"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-10,34</w:t>
            </w:r>
          </w:p>
        </w:tc>
        <w:tc>
          <w:tcPr>
            <w:tcW w:w="1535"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-6,12</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3,24</w:t>
            </w:r>
          </w:p>
        </w:tc>
        <w:tc>
          <w:tcPr>
            <w:tcW w:w="1536"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51,07</w:t>
            </w:r>
          </w:p>
        </w:tc>
        <w:tc>
          <w:tcPr>
            <w:tcW w:w="1536"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-76,34</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FIIT</w:t>
            </w:r>
          </w:p>
        </w:tc>
        <w:tc>
          <w:tcPr>
            <w:tcW w:w="1828"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5,00</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1,33</w:t>
            </w:r>
          </w:p>
        </w:tc>
        <w:tc>
          <w:tcPr>
            <w:tcW w:w="1535" w:type="dxa"/>
            <w:tcBorders>
              <w:bottom w:val="single" w:sz="4" w:space="0" w:color="auto"/>
            </w:tcBorders>
            <w:shd w:val="clear" w:color="auto" w:fill="FF0000"/>
            <w:vAlign w:val="bottom"/>
          </w:tcPr>
          <w:p w:rsidR="00B51749" w:rsidRPr="00F0732E" w:rsidRDefault="00B51749" w:rsidP="00447572">
            <w:pPr>
              <w:rPr>
                <w:color w:val="000000"/>
                <w:sz w:val="28"/>
                <w:szCs w:val="28"/>
              </w:rPr>
            </w:pPr>
            <w:r w:rsidRPr="00F0732E">
              <w:rPr>
                <w:color w:val="000000"/>
                <w:sz w:val="28"/>
                <w:szCs w:val="28"/>
              </w:rPr>
              <w:t>-1,50</w:t>
            </w:r>
          </w:p>
        </w:tc>
        <w:tc>
          <w:tcPr>
            <w:tcW w:w="1536" w:type="dxa"/>
            <w:tcBorders>
              <w:bottom w:val="single" w:sz="4" w:space="0" w:color="auto"/>
            </w:tcBorders>
            <w:shd w:val="clear" w:color="auto" w:fill="00B050"/>
            <w:vAlign w:val="bottom"/>
          </w:tcPr>
          <w:p w:rsidR="00B51749" w:rsidRPr="00F0732E" w:rsidRDefault="00B51749" w:rsidP="00447572">
            <w:pPr>
              <w:rPr>
                <w:color w:val="000000"/>
                <w:sz w:val="28"/>
                <w:szCs w:val="28"/>
              </w:rPr>
            </w:pPr>
            <w:r w:rsidRPr="00F0732E">
              <w:rPr>
                <w:color w:val="000000"/>
                <w:sz w:val="28"/>
                <w:szCs w:val="28"/>
              </w:rPr>
              <w:t>0,00</w:t>
            </w:r>
          </w:p>
        </w:tc>
        <w:tc>
          <w:tcPr>
            <w:tcW w:w="1536"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17,23</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ÚM</w:t>
            </w:r>
          </w:p>
        </w:tc>
        <w:tc>
          <w:tcPr>
            <w:tcW w:w="1828"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-4,78</w:t>
            </w:r>
          </w:p>
        </w:tc>
        <w:tc>
          <w:tcPr>
            <w:tcW w:w="1535"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-19,62</w:t>
            </w:r>
          </w:p>
        </w:tc>
        <w:tc>
          <w:tcPr>
            <w:tcW w:w="1535"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1,25</w:t>
            </w:r>
          </w:p>
        </w:tc>
        <w:tc>
          <w:tcPr>
            <w:tcW w:w="1536" w:type="dxa"/>
            <w:shd w:val="clear" w:color="auto" w:fill="00B050"/>
            <w:vAlign w:val="bottom"/>
          </w:tcPr>
          <w:p w:rsidR="00B51749" w:rsidRPr="00F0732E" w:rsidRDefault="00B51749" w:rsidP="00447572">
            <w:pPr>
              <w:rPr>
                <w:color w:val="000000"/>
                <w:sz w:val="28"/>
                <w:szCs w:val="28"/>
              </w:rPr>
            </w:pPr>
            <w:r w:rsidRPr="00F0732E">
              <w:rPr>
                <w:color w:val="000000"/>
                <w:sz w:val="28"/>
                <w:szCs w:val="28"/>
              </w:rPr>
              <w:t>3,00</w:t>
            </w:r>
          </w:p>
        </w:tc>
        <w:tc>
          <w:tcPr>
            <w:tcW w:w="1536" w:type="dxa"/>
            <w:shd w:val="clear" w:color="auto" w:fill="FF0000"/>
            <w:vAlign w:val="bottom"/>
          </w:tcPr>
          <w:p w:rsidR="00B51749" w:rsidRPr="00F0732E" w:rsidRDefault="00B51749" w:rsidP="00447572">
            <w:pPr>
              <w:rPr>
                <w:color w:val="000000"/>
                <w:sz w:val="28"/>
                <w:szCs w:val="28"/>
              </w:rPr>
            </w:pPr>
            <w:r w:rsidRPr="00F0732E">
              <w:rPr>
                <w:color w:val="000000"/>
                <w:sz w:val="28"/>
                <w:szCs w:val="28"/>
              </w:rPr>
              <w:t>-108,95</w:t>
            </w:r>
          </w:p>
        </w:tc>
      </w:tr>
      <w:tr w:rsidR="00B51749" w:rsidRPr="00F0732E" w:rsidTr="00447572">
        <w:tc>
          <w:tcPr>
            <w:tcW w:w="1242" w:type="dxa"/>
            <w:shd w:val="clear" w:color="auto" w:fill="auto"/>
          </w:tcPr>
          <w:p w:rsidR="00B51749" w:rsidRPr="00F0732E" w:rsidRDefault="00B51749" w:rsidP="00447572">
            <w:pPr>
              <w:rPr>
                <w:b/>
                <w:sz w:val="28"/>
                <w:szCs w:val="28"/>
              </w:rPr>
            </w:pPr>
            <w:r w:rsidRPr="00F0732E">
              <w:rPr>
                <w:b/>
                <w:sz w:val="28"/>
                <w:szCs w:val="28"/>
              </w:rPr>
              <w:t>STU</w:t>
            </w:r>
          </w:p>
        </w:tc>
        <w:tc>
          <w:tcPr>
            <w:tcW w:w="1828" w:type="dxa"/>
            <w:shd w:val="clear" w:color="auto" w:fill="FF0000"/>
            <w:vAlign w:val="bottom"/>
          </w:tcPr>
          <w:p w:rsidR="00B51749" w:rsidRPr="00F0732E" w:rsidRDefault="00B51749" w:rsidP="00447572">
            <w:pPr>
              <w:rPr>
                <w:b/>
                <w:color w:val="000000"/>
                <w:sz w:val="28"/>
                <w:szCs w:val="28"/>
              </w:rPr>
            </w:pPr>
            <w:r w:rsidRPr="00F0732E">
              <w:rPr>
                <w:b/>
                <w:color w:val="000000"/>
                <w:sz w:val="28"/>
                <w:szCs w:val="28"/>
              </w:rPr>
              <w:t>-10,00</w:t>
            </w:r>
          </w:p>
        </w:tc>
        <w:tc>
          <w:tcPr>
            <w:tcW w:w="1535" w:type="dxa"/>
            <w:shd w:val="clear" w:color="auto" w:fill="FF0000"/>
            <w:vAlign w:val="bottom"/>
          </w:tcPr>
          <w:p w:rsidR="00B51749" w:rsidRPr="00F0732E" w:rsidRDefault="00B51749" w:rsidP="00447572">
            <w:pPr>
              <w:rPr>
                <w:b/>
                <w:color w:val="000000"/>
                <w:sz w:val="28"/>
                <w:szCs w:val="28"/>
              </w:rPr>
            </w:pPr>
            <w:r w:rsidRPr="00F0732E">
              <w:rPr>
                <w:b/>
                <w:color w:val="000000"/>
                <w:sz w:val="28"/>
                <w:szCs w:val="28"/>
              </w:rPr>
              <w:t>-26,00</w:t>
            </w:r>
          </w:p>
        </w:tc>
        <w:tc>
          <w:tcPr>
            <w:tcW w:w="1535" w:type="dxa"/>
            <w:shd w:val="clear" w:color="auto" w:fill="00B050"/>
            <w:vAlign w:val="bottom"/>
          </w:tcPr>
          <w:p w:rsidR="00B51749" w:rsidRPr="00F0732E" w:rsidRDefault="00B51749" w:rsidP="00447572">
            <w:pPr>
              <w:rPr>
                <w:b/>
                <w:color w:val="000000"/>
                <w:sz w:val="28"/>
                <w:szCs w:val="28"/>
              </w:rPr>
            </w:pPr>
            <w:r w:rsidRPr="00F0732E">
              <w:rPr>
                <w:b/>
                <w:color w:val="000000"/>
                <w:sz w:val="28"/>
                <w:szCs w:val="28"/>
              </w:rPr>
              <w:t>57,00</w:t>
            </w:r>
          </w:p>
        </w:tc>
        <w:tc>
          <w:tcPr>
            <w:tcW w:w="1536" w:type="dxa"/>
            <w:shd w:val="clear" w:color="auto" w:fill="00B050"/>
            <w:vAlign w:val="bottom"/>
          </w:tcPr>
          <w:p w:rsidR="00B51749" w:rsidRPr="00F0732E" w:rsidRDefault="00B51749" w:rsidP="00447572">
            <w:pPr>
              <w:rPr>
                <w:b/>
                <w:color w:val="000000"/>
                <w:sz w:val="28"/>
                <w:szCs w:val="28"/>
              </w:rPr>
            </w:pPr>
            <w:r w:rsidRPr="00F0732E">
              <w:rPr>
                <w:b/>
                <w:color w:val="000000"/>
                <w:sz w:val="28"/>
                <w:szCs w:val="28"/>
              </w:rPr>
              <w:t>60,00</w:t>
            </w:r>
          </w:p>
        </w:tc>
        <w:tc>
          <w:tcPr>
            <w:tcW w:w="1536" w:type="dxa"/>
            <w:shd w:val="clear" w:color="auto" w:fill="FF0000"/>
            <w:vAlign w:val="bottom"/>
          </w:tcPr>
          <w:p w:rsidR="00B51749" w:rsidRPr="00F0732E" w:rsidRDefault="00B51749" w:rsidP="00447572">
            <w:pPr>
              <w:rPr>
                <w:b/>
                <w:color w:val="000000"/>
                <w:sz w:val="28"/>
                <w:szCs w:val="28"/>
              </w:rPr>
            </w:pPr>
            <w:r w:rsidRPr="00F0732E">
              <w:rPr>
                <w:b/>
                <w:color w:val="000000"/>
                <w:sz w:val="28"/>
                <w:szCs w:val="28"/>
              </w:rPr>
              <w:t>-1244,00</w:t>
            </w:r>
          </w:p>
        </w:tc>
      </w:tr>
    </w:tbl>
    <w:p w:rsidR="00B51749" w:rsidRPr="00F0732E" w:rsidRDefault="00B51749" w:rsidP="00B51749">
      <w:pPr>
        <w:rPr>
          <w:sz w:val="28"/>
          <w:szCs w:val="28"/>
        </w:rPr>
      </w:pPr>
    </w:p>
    <w:p w:rsidR="00B51749" w:rsidRPr="00F0732E" w:rsidRDefault="00B51749" w:rsidP="00B51749">
      <w:pPr>
        <w:rPr>
          <w:b/>
          <w:sz w:val="28"/>
          <w:szCs w:val="28"/>
        </w:rPr>
      </w:pPr>
      <w:r w:rsidRPr="00F0732E">
        <w:rPr>
          <w:sz w:val="28"/>
          <w:szCs w:val="28"/>
        </w:rPr>
        <w:t>Graf 5.12 znázorňuje vývoj publikačnej aktivity STU za roky 2011</w:t>
      </w:r>
      <w:r w:rsidR="002A12FC">
        <w:rPr>
          <w:sz w:val="28"/>
          <w:szCs w:val="28"/>
        </w:rPr>
        <w:t xml:space="preserve"> – </w:t>
      </w:r>
      <w:r w:rsidRPr="00F0732E">
        <w:rPr>
          <w:sz w:val="28"/>
          <w:szCs w:val="28"/>
        </w:rPr>
        <w:t>2014 podľa jednotlivých bibliografických kategórií.</w:t>
      </w:r>
      <w:r w:rsidRPr="00F0732E">
        <w:rPr>
          <w:b/>
          <w:sz w:val="28"/>
          <w:szCs w:val="28"/>
        </w:rPr>
        <w:t xml:space="preserve"> </w:t>
      </w:r>
    </w:p>
    <w:p w:rsidR="00B51749" w:rsidRPr="00F0732E" w:rsidRDefault="00B51749" w:rsidP="00B51749">
      <w:pPr>
        <w:rPr>
          <w:b/>
          <w:sz w:val="28"/>
          <w:szCs w:val="28"/>
        </w:rPr>
      </w:pP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Graf 5.12: Vývoj publikačnej produktivity STU v rokoch 2011</w:t>
      </w:r>
      <w:r w:rsidR="002A12FC">
        <w:rPr>
          <w:b/>
          <w:sz w:val="28"/>
          <w:szCs w:val="28"/>
        </w:rPr>
        <w:t xml:space="preserve"> – </w:t>
      </w:r>
      <w:r w:rsidRPr="00F0732E">
        <w:rPr>
          <w:b/>
          <w:sz w:val="28"/>
          <w:szCs w:val="28"/>
        </w:rPr>
        <w:t>2014 v kategóriách A1, A2 a B a C</w:t>
      </w:r>
    </w:p>
    <w:p w:rsidR="00B51749" w:rsidRPr="00F0732E" w:rsidRDefault="00B51749" w:rsidP="00B51749">
      <w:pPr>
        <w:rPr>
          <w:sz w:val="28"/>
          <w:szCs w:val="28"/>
        </w:rPr>
      </w:pPr>
    </w:p>
    <w:p w:rsidR="00B51749" w:rsidRPr="00F0732E" w:rsidRDefault="00B51749" w:rsidP="00B51749">
      <w:pPr>
        <w:rPr>
          <w:sz w:val="28"/>
          <w:szCs w:val="28"/>
        </w:rPr>
      </w:pPr>
      <w:r>
        <w:rPr>
          <w:noProof/>
          <w:sz w:val="28"/>
          <w:szCs w:val="28"/>
          <w:lang w:eastAsia="sk-SK"/>
        </w:rPr>
        <w:drawing>
          <wp:inline distT="0" distB="0" distL="0" distR="0">
            <wp:extent cx="4951095" cy="2379345"/>
            <wp:effectExtent l="0" t="0" r="1905" b="1905"/>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Zaujímavé informácie poskytujú grafy 5.13, ktoré vyjadrujú vývoj publikačnej aktivity súčastí STU v rokoch 2011</w:t>
      </w:r>
      <w:r w:rsidR="002A12FC">
        <w:rPr>
          <w:sz w:val="28"/>
          <w:szCs w:val="28"/>
        </w:rPr>
        <w:t xml:space="preserve"> – </w:t>
      </w:r>
      <w:r w:rsidRPr="00F0732E">
        <w:rPr>
          <w:sz w:val="28"/>
          <w:szCs w:val="28"/>
        </w:rPr>
        <w:t>2014 podľa jednotlivých bibliografických kategórií.</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Graf 5.13: Vývoj publikačnej aktivity súčastí STU v rokoch 2011</w:t>
      </w:r>
      <w:r w:rsidR="002A12FC">
        <w:rPr>
          <w:b/>
          <w:sz w:val="28"/>
          <w:szCs w:val="28"/>
        </w:rPr>
        <w:t xml:space="preserve"> – </w:t>
      </w:r>
      <w:r w:rsidRPr="00F0732E">
        <w:rPr>
          <w:b/>
          <w:sz w:val="28"/>
          <w:szCs w:val="28"/>
        </w:rPr>
        <w:t>2014 v</w:t>
      </w:r>
      <w:r w:rsidR="002A12FC">
        <w:rPr>
          <w:b/>
          <w:sz w:val="28"/>
          <w:szCs w:val="28"/>
        </w:rPr>
        <w:t> </w:t>
      </w:r>
      <w:r w:rsidRPr="00F0732E">
        <w:rPr>
          <w:b/>
          <w:sz w:val="28"/>
          <w:szCs w:val="28"/>
        </w:rPr>
        <w:t>jednotlivých</w:t>
      </w:r>
      <w:r w:rsidR="002A12FC">
        <w:rPr>
          <w:b/>
          <w:sz w:val="28"/>
          <w:szCs w:val="28"/>
        </w:rPr>
        <w:t xml:space="preserve"> </w:t>
      </w:r>
      <w:r w:rsidRPr="00F0732E">
        <w:rPr>
          <w:b/>
          <w:sz w:val="28"/>
          <w:szCs w:val="28"/>
        </w:rPr>
        <w:t xml:space="preserve"> bibliografických kategóriách</w:t>
      </w:r>
      <w:r w:rsidRPr="00F0732E">
        <w:rPr>
          <w:rStyle w:val="Odkaznapoznmkupodiarou"/>
          <w:b/>
          <w:sz w:val="28"/>
          <w:szCs w:val="28"/>
        </w:rPr>
        <w:footnoteReference w:id="2"/>
      </w:r>
    </w:p>
    <w:p w:rsidR="00B51749" w:rsidRPr="00F0732E" w:rsidRDefault="00B51749" w:rsidP="00B51749">
      <w:pPr>
        <w:rPr>
          <w:sz w:val="28"/>
          <w:szCs w:val="28"/>
        </w:rPr>
      </w:pPr>
    </w:p>
    <w:p w:rsidR="00B51749" w:rsidRPr="00F0732E" w:rsidRDefault="00B51749" w:rsidP="00B51749">
      <w:pPr>
        <w:rPr>
          <w:sz w:val="28"/>
          <w:szCs w:val="28"/>
          <w:lang w:eastAsia="sk-SK"/>
        </w:rPr>
      </w:pPr>
      <w:r>
        <w:rPr>
          <w:noProof/>
          <w:sz w:val="28"/>
          <w:szCs w:val="28"/>
          <w:lang w:eastAsia="sk-SK"/>
        </w:rPr>
        <w:lastRenderedPageBreak/>
        <w:drawing>
          <wp:inline distT="0" distB="0" distL="0" distR="0">
            <wp:extent cx="5045710" cy="2876550"/>
            <wp:effectExtent l="0" t="0" r="2540" b="0"/>
            <wp:docPr id="14"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51749" w:rsidRPr="00F0732E" w:rsidRDefault="00B51749" w:rsidP="00B51749">
      <w:pPr>
        <w:rPr>
          <w:b/>
          <w:sz w:val="28"/>
          <w:szCs w:val="28"/>
        </w:rPr>
      </w:pPr>
      <w:r>
        <w:rPr>
          <w:noProof/>
          <w:sz w:val="28"/>
          <w:szCs w:val="28"/>
          <w:lang w:eastAsia="sk-SK"/>
        </w:rPr>
        <w:drawing>
          <wp:inline distT="0" distB="0" distL="0" distR="0">
            <wp:extent cx="5045710" cy="2731135"/>
            <wp:effectExtent l="0" t="0" r="2540" b="0"/>
            <wp:docPr id="13"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51749" w:rsidRPr="00F0732E" w:rsidRDefault="00B51749" w:rsidP="00B51749">
      <w:pPr>
        <w:rPr>
          <w:b/>
          <w:sz w:val="28"/>
          <w:szCs w:val="28"/>
        </w:rPr>
      </w:pPr>
      <w:r>
        <w:rPr>
          <w:noProof/>
          <w:sz w:val="28"/>
          <w:szCs w:val="28"/>
          <w:lang w:eastAsia="sk-SK"/>
        </w:rPr>
        <w:drawing>
          <wp:inline distT="0" distB="0" distL="0" distR="0">
            <wp:extent cx="5305425" cy="2836545"/>
            <wp:effectExtent l="0" t="0" r="0" b="1905"/>
            <wp:docPr id="12" name="Graf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51749" w:rsidRPr="00F0732E" w:rsidRDefault="00B51749" w:rsidP="00B51749">
      <w:pPr>
        <w:rPr>
          <w:b/>
          <w:sz w:val="28"/>
          <w:szCs w:val="28"/>
        </w:rPr>
      </w:pPr>
      <w:r>
        <w:rPr>
          <w:noProof/>
          <w:sz w:val="28"/>
          <w:szCs w:val="28"/>
          <w:lang w:eastAsia="sk-SK"/>
        </w:rPr>
        <w:lastRenderedPageBreak/>
        <w:drawing>
          <wp:inline distT="0" distB="0" distL="0" distR="0">
            <wp:extent cx="5122545" cy="2759710"/>
            <wp:effectExtent l="0" t="0" r="1905" b="254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noProof/>
          <w:sz w:val="28"/>
          <w:szCs w:val="28"/>
          <w:lang w:eastAsia="sk-SK"/>
        </w:rPr>
        <w:drawing>
          <wp:inline distT="0" distB="0" distL="0" distR="0">
            <wp:extent cx="5056505" cy="2864485"/>
            <wp:effectExtent l="0" t="0" r="0" b="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V nasledujúcej časti predkladáme informatívne grafy o vývoji počtu publikácií za celú STU registrovaných v databáze SCOPUS, tak ako ich vyselektovala softvérová aplikácia SciVal. Podľa uvedenej analýzy STU vykazuje 23,9 % nárast za roky 2009-2014. Rok 2014 nie je ešte uzavretý, preto trend publikačných aktivít podľa databázy SCOPUS vykazuje za tento rok mierny medziročný pokles. Graf 5.14 znázorňuje trend nárastu publikačných aktivít pre publikačné výstupy registrované v databáze SCOPUS. Ďalšou zaujímavou informáciou získanou z analýzy dát softvérového produktu SciVal je trend v percente publikácii v hornom 10 % percentile (</w:t>
      </w:r>
      <w:r w:rsidR="0067123B">
        <w:rPr>
          <w:sz w:val="28"/>
          <w:szCs w:val="28"/>
        </w:rPr>
        <w:t xml:space="preserve">Graf </w:t>
      </w:r>
      <w:r w:rsidRPr="00F0732E">
        <w:rPr>
          <w:sz w:val="28"/>
          <w:szCs w:val="28"/>
        </w:rPr>
        <w:t>5.15) a informácia o percentuálnom podiele medzinárodných kooperácií pri publikovaní za roky 2009</w:t>
      </w:r>
      <w:r w:rsidR="000E3765">
        <w:rPr>
          <w:sz w:val="28"/>
          <w:szCs w:val="28"/>
        </w:rPr>
        <w:t xml:space="preserve"> – </w:t>
      </w:r>
      <w:r w:rsidRPr="00F0732E">
        <w:rPr>
          <w:sz w:val="28"/>
          <w:szCs w:val="28"/>
        </w:rPr>
        <w:t>2013 (</w:t>
      </w:r>
      <w:r w:rsidR="0067123B">
        <w:rPr>
          <w:sz w:val="28"/>
          <w:szCs w:val="28"/>
        </w:rPr>
        <w:t xml:space="preserve">Graf </w:t>
      </w:r>
      <w:r w:rsidRPr="00F0732E">
        <w:rPr>
          <w:sz w:val="28"/>
          <w:szCs w:val="28"/>
        </w:rPr>
        <w:t>5. 16).</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Graf 5.14: Vývoj publikačnej aktivity STU podľa databázy SCOPUS</w:t>
      </w:r>
    </w:p>
    <w:p w:rsidR="00B51749" w:rsidRPr="00F0732E" w:rsidRDefault="00B51749" w:rsidP="00B51749">
      <w:pPr>
        <w:rPr>
          <w:sz w:val="28"/>
          <w:szCs w:val="28"/>
        </w:rPr>
      </w:pPr>
      <w:r>
        <w:rPr>
          <w:noProof/>
          <w:sz w:val="28"/>
          <w:szCs w:val="28"/>
          <w:lang w:eastAsia="sk-SK"/>
        </w:rPr>
        <w:lastRenderedPageBreak/>
        <w:drawing>
          <wp:inline distT="0" distB="0" distL="0" distR="0">
            <wp:extent cx="4341495" cy="2454910"/>
            <wp:effectExtent l="0" t="0" r="1905" b="2540"/>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Graf 5.15: Vývoj percenta publikácii STU v hornom 10</w:t>
      </w:r>
      <w:r w:rsidR="000E3765">
        <w:rPr>
          <w:b/>
          <w:sz w:val="28"/>
          <w:szCs w:val="28"/>
        </w:rPr>
        <w:t xml:space="preserve"> </w:t>
      </w:r>
      <w:r w:rsidRPr="00F0732E">
        <w:rPr>
          <w:b/>
          <w:sz w:val="28"/>
          <w:szCs w:val="28"/>
        </w:rPr>
        <w:t>% percentile za roky 2009-2014</w:t>
      </w:r>
    </w:p>
    <w:p w:rsidR="00B51749" w:rsidRPr="00F0732E" w:rsidRDefault="00B51749" w:rsidP="00B51749">
      <w:pPr>
        <w:rPr>
          <w:b/>
          <w:sz w:val="28"/>
          <w:szCs w:val="28"/>
        </w:rPr>
      </w:pPr>
    </w:p>
    <w:p w:rsidR="00B51749" w:rsidRPr="00F0732E" w:rsidRDefault="00B51749" w:rsidP="00B51749">
      <w:pPr>
        <w:rPr>
          <w:sz w:val="28"/>
          <w:szCs w:val="28"/>
        </w:rPr>
      </w:pPr>
      <w:r>
        <w:rPr>
          <w:noProof/>
          <w:sz w:val="28"/>
          <w:szCs w:val="28"/>
          <w:lang w:eastAsia="sk-SK"/>
        </w:rPr>
        <w:drawing>
          <wp:inline distT="0" distB="0" distL="0" distR="0">
            <wp:extent cx="4465955" cy="2266950"/>
            <wp:effectExtent l="0" t="0" r="0" b="0"/>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Graf 5.16: Vývoj percenta publikácii STU s medzinárodnou kooperáciou za roky 2009</w:t>
      </w:r>
      <w:r w:rsidR="000E3765">
        <w:rPr>
          <w:b/>
          <w:sz w:val="28"/>
          <w:szCs w:val="28"/>
        </w:rPr>
        <w:t xml:space="preserve"> – </w:t>
      </w:r>
      <w:r w:rsidRPr="00F0732E">
        <w:rPr>
          <w:b/>
          <w:sz w:val="28"/>
          <w:szCs w:val="28"/>
        </w:rPr>
        <w:t>2014</w:t>
      </w:r>
    </w:p>
    <w:p w:rsidR="00B51749" w:rsidRPr="00F0732E" w:rsidRDefault="00B51749" w:rsidP="00B51749">
      <w:pPr>
        <w:rPr>
          <w:sz w:val="28"/>
          <w:szCs w:val="28"/>
        </w:rPr>
      </w:pPr>
    </w:p>
    <w:p w:rsidR="00B51749" w:rsidRPr="00F0732E" w:rsidRDefault="00B51749" w:rsidP="00B51749">
      <w:pPr>
        <w:rPr>
          <w:b/>
          <w:sz w:val="28"/>
          <w:szCs w:val="28"/>
        </w:rPr>
      </w:pPr>
      <w:r>
        <w:rPr>
          <w:noProof/>
          <w:sz w:val="28"/>
          <w:szCs w:val="28"/>
          <w:lang w:eastAsia="sk-SK"/>
        </w:rPr>
        <w:drawing>
          <wp:inline distT="0" distB="0" distL="0" distR="0">
            <wp:extent cx="4448175" cy="2314575"/>
            <wp:effectExtent l="0" t="0" r="0" b="0"/>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51749" w:rsidRPr="00F0732E" w:rsidRDefault="00B51749" w:rsidP="00B51749">
      <w:pPr>
        <w:rPr>
          <w:color w:val="FF0000"/>
          <w:sz w:val="28"/>
          <w:szCs w:val="28"/>
        </w:rPr>
      </w:pPr>
    </w:p>
    <w:p w:rsidR="00B51749" w:rsidRPr="00F0732E" w:rsidRDefault="00B51749" w:rsidP="00B51749">
      <w:pPr>
        <w:pStyle w:val="Nadpis3"/>
        <w:rPr>
          <w:rFonts w:ascii="Cambria" w:hAnsi="Cambria"/>
          <w:sz w:val="28"/>
          <w:szCs w:val="28"/>
        </w:rPr>
      </w:pPr>
      <w:bookmarkStart w:id="30" w:name="_Toc413009333"/>
      <w:r w:rsidRPr="00F0732E">
        <w:rPr>
          <w:rFonts w:ascii="Cambria" w:hAnsi="Cambria"/>
          <w:sz w:val="28"/>
          <w:szCs w:val="28"/>
        </w:rPr>
        <w:t>Finančné prostriedky z projektov v rámci podnikateľskej činnosti</w:t>
      </w:r>
      <w:bookmarkEnd w:id="30"/>
    </w:p>
    <w:p w:rsidR="00B51749" w:rsidRPr="00F0732E" w:rsidRDefault="00B51749" w:rsidP="00B51749">
      <w:pPr>
        <w:rPr>
          <w:sz w:val="28"/>
          <w:szCs w:val="28"/>
        </w:rPr>
      </w:pPr>
    </w:p>
    <w:p w:rsidR="00B51749" w:rsidRPr="00F0732E" w:rsidRDefault="00B51749" w:rsidP="00B51749">
      <w:pPr>
        <w:rPr>
          <w:sz w:val="28"/>
          <w:szCs w:val="28"/>
          <w:lang w:eastAsia="sk-SK"/>
        </w:rPr>
      </w:pPr>
      <w:r w:rsidRPr="00F0732E">
        <w:rPr>
          <w:sz w:val="28"/>
          <w:szCs w:val="28"/>
        </w:rPr>
        <w:t xml:space="preserve">Významný zdrojom financovania viacerých aktivít súčastí STU predstavujú projekty v rámci podnikateľskej činnosti </w:t>
      </w:r>
      <w:r w:rsidR="000E3765">
        <w:rPr>
          <w:sz w:val="28"/>
          <w:szCs w:val="28"/>
        </w:rPr>
        <w:t>–</w:t>
      </w:r>
      <w:r w:rsidRPr="00F0732E">
        <w:rPr>
          <w:sz w:val="28"/>
          <w:szCs w:val="28"/>
        </w:rPr>
        <w:t xml:space="preserve"> zmluvy o dielo, ktoré tvorili v uplynulom roku asi 1,4 % z celkového rozpočtu univerzity (okolo 1,4 mil. €). Graf 5.17a znázorňuje vývoj takýchto finančných prostriedkov za roky 2011</w:t>
      </w:r>
      <w:r w:rsidR="000E3765">
        <w:rPr>
          <w:sz w:val="28"/>
          <w:szCs w:val="28"/>
        </w:rPr>
        <w:t xml:space="preserve"> – </w:t>
      </w:r>
      <w:r w:rsidRPr="00F0732E">
        <w:rPr>
          <w:sz w:val="28"/>
          <w:szCs w:val="28"/>
        </w:rPr>
        <w:t>2014 v rámci celej univerzity. Graf 5.17b detailizuje túto informáciu na úroveň jednotlivých súčastí STU. Z uvedeného obrázku je zrejmé, že tradične v získavaní takýchto mimorozpočtových prostriedkov najefektívnejšie postupuje SvF. Alarmujúcou skutočnosť</w:t>
      </w:r>
      <w:r w:rsidR="000E3765">
        <w:rPr>
          <w:sz w:val="28"/>
          <w:szCs w:val="28"/>
        </w:rPr>
        <w:t>ou</w:t>
      </w:r>
      <w:r w:rsidRPr="00F0732E">
        <w:rPr>
          <w:sz w:val="28"/>
          <w:szCs w:val="28"/>
        </w:rPr>
        <w:t xml:space="preserve"> je dlhoročne pretrvávajúci stav na FIIT, ktorá nevykazuje takmer žiadne príjmy.</w:t>
      </w:r>
      <w:r w:rsidRPr="00F0732E">
        <w:rPr>
          <w:sz w:val="28"/>
          <w:szCs w:val="28"/>
          <w:lang w:eastAsia="sk-SK"/>
        </w:rPr>
        <w:t xml:space="preserve"> </w:t>
      </w:r>
    </w:p>
    <w:p w:rsidR="00B51749" w:rsidRPr="00F0732E" w:rsidRDefault="00B51749" w:rsidP="00B51749">
      <w:pPr>
        <w:rPr>
          <w:sz w:val="28"/>
          <w:szCs w:val="28"/>
          <w:lang w:eastAsia="sk-SK"/>
        </w:rPr>
      </w:pPr>
    </w:p>
    <w:p w:rsidR="00B51749" w:rsidRPr="00F0732E" w:rsidRDefault="00B51749" w:rsidP="00B51749">
      <w:pPr>
        <w:rPr>
          <w:b/>
          <w:bCs/>
          <w:sz w:val="28"/>
          <w:szCs w:val="28"/>
        </w:rPr>
      </w:pPr>
      <w:r w:rsidRPr="00F0732E">
        <w:rPr>
          <w:b/>
          <w:bCs/>
          <w:sz w:val="28"/>
          <w:szCs w:val="28"/>
        </w:rPr>
        <w:t>Graf 5.17: Vývoj v získavaní finančných</w:t>
      </w:r>
      <w:r w:rsidR="000E3765">
        <w:rPr>
          <w:b/>
          <w:bCs/>
          <w:sz w:val="28"/>
          <w:szCs w:val="28"/>
        </w:rPr>
        <w:t xml:space="preserve"> prostriedkov zo zmlúv o dielo </w:t>
      </w:r>
      <w:r w:rsidRPr="00F0732E">
        <w:rPr>
          <w:b/>
          <w:bCs/>
          <w:sz w:val="28"/>
          <w:szCs w:val="28"/>
        </w:rPr>
        <w:t>za celú univerzitu (a) a podľa jednotlivých súčastí (b) za roky 2011</w:t>
      </w:r>
      <w:r w:rsidR="00C5296A">
        <w:rPr>
          <w:b/>
          <w:bCs/>
          <w:sz w:val="28"/>
          <w:szCs w:val="28"/>
        </w:rPr>
        <w:t xml:space="preserve"> – </w:t>
      </w:r>
      <w:r w:rsidRPr="00F0732E">
        <w:rPr>
          <w:b/>
          <w:bCs/>
          <w:sz w:val="28"/>
          <w:szCs w:val="28"/>
        </w:rPr>
        <w:t>2014</w:t>
      </w:r>
    </w:p>
    <w:p w:rsidR="00AA1642" w:rsidRDefault="00AA1642" w:rsidP="00AA1642">
      <w:r>
        <w:rPr>
          <w:noProof/>
          <w:lang w:eastAsia="sk-SK"/>
        </w:rPr>
        <w:drawing>
          <wp:inline distT="0" distB="0" distL="0" distR="0">
            <wp:extent cx="4580965" cy="2689411"/>
            <wp:effectExtent l="0" t="0" r="0" b="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A1642" w:rsidRPr="00AA1642" w:rsidRDefault="00AA1642" w:rsidP="00AA1642">
      <w:pPr>
        <w:rPr>
          <w:b/>
          <w:sz w:val="28"/>
          <w:szCs w:val="28"/>
        </w:rPr>
      </w:pPr>
      <w:r w:rsidRPr="00AA1642">
        <w:rPr>
          <w:b/>
          <w:sz w:val="28"/>
          <w:szCs w:val="28"/>
        </w:rPr>
        <w:t>a)</w:t>
      </w:r>
    </w:p>
    <w:p w:rsidR="00B51749" w:rsidRPr="00F0732E" w:rsidRDefault="00B51749" w:rsidP="00B51749">
      <w:pPr>
        <w:rPr>
          <w:b/>
          <w:bCs/>
          <w:sz w:val="28"/>
          <w:szCs w:val="28"/>
        </w:rPr>
      </w:pPr>
      <w:r w:rsidRPr="00F0732E">
        <w:rPr>
          <w:b/>
          <w:bCs/>
          <w:sz w:val="28"/>
          <w:szCs w:val="28"/>
        </w:rPr>
        <w:t xml:space="preserve">                                                                 </w:t>
      </w:r>
    </w:p>
    <w:p w:rsidR="00E627D1" w:rsidRDefault="00E627D1" w:rsidP="00E627D1"/>
    <w:p w:rsidR="00E627D1" w:rsidRDefault="00E627D1" w:rsidP="00E627D1">
      <w:r>
        <w:rPr>
          <w:noProof/>
          <w:lang w:eastAsia="sk-SK"/>
        </w:rPr>
        <w:lastRenderedPageBreak/>
        <w:drawing>
          <wp:inline distT="0" distB="0" distL="0" distR="0">
            <wp:extent cx="4572449" cy="2689411"/>
            <wp:effectExtent l="0" t="0" r="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627D1" w:rsidRPr="00E627D1" w:rsidRDefault="00E627D1" w:rsidP="00E627D1">
      <w:pPr>
        <w:rPr>
          <w:b/>
          <w:sz w:val="28"/>
          <w:szCs w:val="28"/>
        </w:rPr>
      </w:pPr>
      <w:r w:rsidRPr="00E627D1">
        <w:rPr>
          <w:b/>
          <w:sz w:val="28"/>
          <w:szCs w:val="28"/>
        </w:rPr>
        <w:t>b)</w:t>
      </w:r>
    </w:p>
    <w:p w:rsidR="00B51749" w:rsidRPr="00F0732E" w:rsidRDefault="00B51749" w:rsidP="00B51749">
      <w:pPr>
        <w:rPr>
          <w:b/>
          <w:bCs/>
          <w:sz w:val="28"/>
          <w:szCs w:val="28"/>
        </w:rPr>
      </w:pPr>
    </w:p>
    <w:p w:rsidR="00B51749" w:rsidRPr="00F0732E" w:rsidRDefault="00B51749" w:rsidP="00B51749">
      <w:pPr>
        <w:rPr>
          <w:b/>
          <w:bCs/>
          <w:sz w:val="28"/>
          <w:szCs w:val="28"/>
        </w:rPr>
      </w:pPr>
    </w:p>
    <w:p w:rsidR="00B51749" w:rsidRPr="00F0732E" w:rsidRDefault="00B51749" w:rsidP="00B51749">
      <w:pPr>
        <w:pStyle w:val="Nadpis2"/>
        <w:numPr>
          <w:ilvl w:val="0"/>
          <w:numId w:val="0"/>
        </w:numPr>
        <w:jc w:val="left"/>
        <w:rPr>
          <w:rFonts w:ascii="Cambria" w:hAnsi="Cambria"/>
          <w:color w:val="FF0000"/>
        </w:rPr>
      </w:pPr>
    </w:p>
    <w:p w:rsidR="00B51749" w:rsidRPr="00F0732E" w:rsidRDefault="00B51749" w:rsidP="00B51749">
      <w:pPr>
        <w:pStyle w:val="Nadpis2"/>
        <w:rPr>
          <w:rFonts w:ascii="Cambria" w:hAnsi="Cambria"/>
          <w:color w:val="auto"/>
        </w:rPr>
      </w:pPr>
      <w:bookmarkStart w:id="31" w:name="_Toc413009334"/>
      <w:r w:rsidRPr="00F0732E">
        <w:rPr>
          <w:rFonts w:ascii="Cambria" w:hAnsi="Cambria"/>
          <w:color w:val="auto"/>
        </w:rPr>
        <w:t>Motivačné aktivity STU na podporu vedy a výskumu</w:t>
      </w:r>
      <w:bookmarkEnd w:id="31"/>
    </w:p>
    <w:p w:rsidR="00B51749" w:rsidRPr="00F0732E" w:rsidRDefault="00B51749" w:rsidP="00B51749">
      <w:pPr>
        <w:pStyle w:val="Nadpis3"/>
        <w:rPr>
          <w:rFonts w:ascii="Cambria" w:hAnsi="Cambria"/>
          <w:color w:val="auto"/>
          <w:sz w:val="28"/>
          <w:szCs w:val="28"/>
        </w:rPr>
      </w:pPr>
      <w:bookmarkStart w:id="32" w:name="_Toc413009335"/>
      <w:r w:rsidRPr="00F0732E">
        <w:rPr>
          <w:rFonts w:ascii="Cambria" w:hAnsi="Cambria"/>
          <w:color w:val="auto"/>
          <w:sz w:val="28"/>
          <w:szCs w:val="28"/>
        </w:rPr>
        <w:t>Projekty na podporu mladých výskumných pracovníkov</w:t>
      </w:r>
      <w:bookmarkEnd w:id="32"/>
    </w:p>
    <w:p w:rsidR="00B51749" w:rsidRPr="00F0732E" w:rsidRDefault="00B51749" w:rsidP="00B51749">
      <w:pPr>
        <w:rPr>
          <w:color w:val="FF0000"/>
          <w:sz w:val="28"/>
          <w:szCs w:val="28"/>
          <w:lang w:eastAsia="cs-CZ"/>
        </w:rPr>
      </w:pPr>
    </w:p>
    <w:p w:rsidR="00B51749" w:rsidRPr="00F0732E" w:rsidRDefault="00B51749" w:rsidP="00B51749">
      <w:pPr>
        <w:autoSpaceDE w:val="0"/>
        <w:autoSpaceDN w:val="0"/>
        <w:adjustRightInd w:val="0"/>
        <w:rPr>
          <w:sz w:val="28"/>
          <w:szCs w:val="28"/>
        </w:rPr>
      </w:pPr>
      <w:r w:rsidRPr="00F0732E">
        <w:rPr>
          <w:sz w:val="28"/>
          <w:szCs w:val="28"/>
        </w:rPr>
        <w:t>V</w:t>
      </w:r>
      <w:r w:rsidR="00E4332F">
        <w:rPr>
          <w:sz w:val="28"/>
          <w:szCs w:val="28"/>
        </w:rPr>
        <w:t xml:space="preserve"> súlade so Smernicou č. 12/2012-</w:t>
      </w:r>
      <w:r w:rsidRPr="00F0732E">
        <w:rPr>
          <w:sz w:val="28"/>
          <w:szCs w:val="28"/>
        </w:rPr>
        <w:t xml:space="preserve">N Slovenská technická univerzita v Bratislave každoročne </w:t>
      </w:r>
      <w:r w:rsidR="00E4332F" w:rsidRPr="00F0732E">
        <w:rPr>
          <w:sz w:val="28"/>
          <w:szCs w:val="28"/>
        </w:rPr>
        <w:t xml:space="preserve">vyhlasuje </w:t>
      </w:r>
      <w:r w:rsidRPr="00F0732E">
        <w:rPr>
          <w:sz w:val="28"/>
          <w:szCs w:val="28"/>
        </w:rPr>
        <w:t>výzvu na predkladanie žiadostí o nenávratný finančný príspevok v rámci Programu na motiváciu a podporu zvyšovania kvality a efektívnosti vedecko-výskumnej činnosti mladých vedecko-výskumných pracovníkov. Slovenská technická univerzita každoročne vyčleňuje finančné prostriedky na podporu mladých výskumníkov ako významný výchovný prvok</w:t>
      </w:r>
      <w:r w:rsidR="00E4332F">
        <w:rPr>
          <w:sz w:val="28"/>
          <w:szCs w:val="28"/>
        </w:rPr>
        <w:t>,</w:t>
      </w:r>
      <w:r w:rsidRPr="00F0732E">
        <w:rPr>
          <w:sz w:val="28"/>
          <w:szCs w:val="28"/>
        </w:rPr>
        <w:t xml:space="preserve"> s</w:t>
      </w:r>
      <w:r w:rsidR="00E4332F">
        <w:rPr>
          <w:sz w:val="28"/>
          <w:szCs w:val="28"/>
        </w:rPr>
        <w:t> </w:t>
      </w:r>
      <w:r w:rsidRPr="00F0732E">
        <w:rPr>
          <w:sz w:val="28"/>
          <w:szCs w:val="28"/>
        </w:rPr>
        <w:t>cieľom</w:t>
      </w:r>
      <w:r w:rsidR="00E4332F">
        <w:rPr>
          <w:sz w:val="28"/>
          <w:szCs w:val="28"/>
        </w:rPr>
        <w:t>,</w:t>
      </w:r>
      <w:r w:rsidRPr="00F0732E">
        <w:rPr>
          <w:sz w:val="28"/>
          <w:szCs w:val="28"/>
        </w:rPr>
        <w:t xml:space="preserve"> naučiť začínajúcich výskumníkov ako pripraviť kvalitný návrh žiadosti o grant a v priebehu jeho riešenia zvládnuť všetky úskalia spojené aj s takými aktivitami, ako je zúčtovanie pridelených finančných prostriedkov a napísanie záverečnej správy o riešení projektu. Tabuľka 5.5 vyjadruje finančné prostriedky pridelené mladým výskumníkom na jednotlivých súčastiach STU v rokoch 2010</w:t>
      </w:r>
      <w:r w:rsidR="001E4CCF">
        <w:rPr>
          <w:sz w:val="28"/>
          <w:szCs w:val="28"/>
        </w:rPr>
        <w:t xml:space="preserve"> –</w:t>
      </w:r>
      <w:r w:rsidR="00E4332F">
        <w:rPr>
          <w:rFonts w:ascii="Times New Roman" w:hAnsi="Times New Roman"/>
          <w:sz w:val="28"/>
          <w:szCs w:val="28"/>
          <w:rtl/>
          <w:lang w:bidi="he-IL"/>
        </w:rPr>
        <w:t xml:space="preserve"> </w:t>
      </w:r>
      <w:r w:rsidRPr="00F0732E">
        <w:rPr>
          <w:sz w:val="28"/>
          <w:szCs w:val="28"/>
        </w:rPr>
        <w:t>14.</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jc w:val="left"/>
        <w:rPr>
          <w:b/>
          <w:sz w:val="28"/>
          <w:szCs w:val="28"/>
        </w:rPr>
      </w:pPr>
      <w:r w:rsidRPr="00F0732E">
        <w:rPr>
          <w:b/>
          <w:sz w:val="28"/>
          <w:szCs w:val="28"/>
        </w:rPr>
        <w:t>Tabuľka 5.5: Pridelené finančné prostriedky v rámci výzvy Projekty mladých výskumníkov</w:t>
      </w:r>
    </w:p>
    <w:p w:rsidR="00B51749" w:rsidRPr="00F0732E" w:rsidRDefault="00B51749" w:rsidP="00B51749">
      <w:pPr>
        <w:autoSpaceDE w:val="0"/>
        <w:autoSpaceDN w:val="0"/>
        <w:adjustRightInd w:val="0"/>
        <w:jc w:val="center"/>
        <w:rPr>
          <w:b/>
          <w:sz w:val="28"/>
          <w:szCs w:val="28"/>
        </w:rPr>
      </w:pPr>
    </w:p>
    <w:tbl>
      <w:tblPr>
        <w:tblW w:w="8378" w:type="dxa"/>
        <w:tblCellMar>
          <w:left w:w="70" w:type="dxa"/>
          <w:right w:w="70" w:type="dxa"/>
        </w:tblCellMar>
        <w:tblLook w:val="04A0" w:firstRow="1" w:lastRow="0" w:firstColumn="1" w:lastColumn="0" w:noHBand="0" w:noVBand="1"/>
      </w:tblPr>
      <w:tblGrid>
        <w:gridCol w:w="1008"/>
        <w:gridCol w:w="1559"/>
        <w:gridCol w:w="1417"/>
        <w:gridCol w:w="1560"/>
        <w:gridCol w:w="1532"/>
        <w:gridCol w:w="1532"/>
      </w:tblGrid>
      <w:tr w:rsidR="00B51749" w:rsidRPr="00F0732E" w:rsidTr="00447572">
        <w:trPr>
          <w:trHeight w:val="264"/>
        </w:trPr>
        <w:tc>
          <w:tcPr>
            <w:tcW w:w="1008" w:type="dxa"/>
            <w:tcBorders>
              <w:bottom w:val="single" w:sz="12" w:space="0" w:color="auto"/>
              <w:right w:val="single" w:sz="12" w:space="0" w:color="auto"/>
            </w:tcBorders>
            <w:shd w:val="clear" w:color="000000" w:fill="auto"/>
            <w:vAlign w:val="bottom"/>
            <w:hideMark/>
          </w:tcPr>
          <w:p w:rsidR="00B51749" w:rsidRPr="00F0732E" w:rsidRDefault="00B51749" w:rsidP="00447572">
            <w:pPr>
              <w:jc w:val="center"/>
              <w:rPr>
                <w:rFonts w:eastAsia="Times New Roman" w:cs="Arial"/>
                <w:sz w:val="28"/>
                <w:szCs w:val="28"/>
                <w:lang w:eastAsia="sk-SK"/>
              </w:rPr>
            </w:pPr>
          </w:p>
        </w:tc>
        <w:tc>
          <w:tcPr>
            <w:tcW w:w="1559" w:type="dxa"/>
            <w:tcBorders>
              <w:top w:val="single" w:sz="12" w:space="0" w:color="auto"/>
              <w:left w:val="single" w:sz="12" w:space="0" w:color="auto"/>
              <w:bottom w:val="single" w:sz="12" w:space="0" w:color="auto"/>
              <w:right w:val="single" w:sz="12" w:space="0" w:color="auto"/>
            </w:tcBorders>
            <w:shd w:val="clear" w:color="000000" w:fill="00B0F0"/>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2010</w:t>
            </w:r>
          </w:p>
        </w:tc>
        <w:tc>
          <w:tcPr>
            <w:tcW w:w="1417" w:type="dxa"/>
            <w:tcBorders>
              <w:top w:val="single" w:sz="12" w:space="0" w:color="auto"/>
              <w:left w:val="single" w:sz="12" w:space="0" w:color="auto"/>
              <w:bottom w:val="single" w:sz="12" w:space="0" w:color="auto"/>
              <w:right w:val="single" w:sz="12" w:space="0" w:color="auto"/>
            </w:tcBorders>
            <w:shd w:val="clear" w:color="000000" w:fill="00B0F0"/>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2011</w:t>
            </w:r>
          </w:p>
        </w:tc>
        <w:tc>
          <w:tcPr>
            <w:tcW w:w="1560" w:type="dxa"/>
            <w:tcBorders>
              <w:top w:val="single" w:sz="12" w:space="0" w:color="auto"/>
              <w:left w:val="single" w:sz="12" w:space="0" w:color="auto"/>
              <w:bottom w:val="single" w:sz="12" w:space="0" w:color="auto"/>
              <w:right w:val="single" w:sz="12" w:space="0" w:color="auto"/>
            </w:tcBorders>
            <w:shd w:val="clear" w:color="000000" w:fill="00B0F0"/>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2012</w:t>
            </w:r>
          </w:p>
        </w:tc>
        <w:tc>
          <w:tcPr>
            <w:tcW w:w="1417" w:type="dxa"/>
            <w:tcBorders>
              <w:top w:val="single" w:sz="12" w:space="0" w:color="auto"/>
              <w:left w:val="single" w:sz="12" w:space="0" w:color="auto"/>
              <w:bottom w:val="single" w:sz="12" w:space="0" w:color="auto"/>
              <w:right w:val="single" w:sz="12" w:space="0" w:color="auto"/>
            </w:tcBorders>
            <w:shd w:val="clear" w:color="000000" w:fill="00B0F0"/>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2013</w:t>
            </w:r>
          </w:p>
        </w:tc>
        <w:tc>
          <w:tcPr>
            <w:tcW w:w="1417" w:type="dxa"/>
            <w:tcBorders>
              <w:top w:val="single" w:sz="12" w:space="0" w:color="auto"/>
              <w:left w:val="single" w:sz="12" w:space="0" w:color="auto"/>
              <w:bottom w:val="single" w:sz="12" w:space="0" w:color="auto"/>
              <w:right w:val="single" w:sz="12" w:space="0" w:color="auto"/>
            </w:tcBorders>
            <w:shd w:val="clear" w:color="000000" w:fill="00B0F0"/>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2014</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SvF</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7 574,00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9 780,00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17 102,16</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29 586,00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26929,89</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lastRenderedPageBreak/>
              <w:t>SjF</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7 663,38</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8 517,79</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7 910,00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14 766,34</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8942,70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FEI</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7 695,00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8 280,52</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15 880,00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16 715,80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19797,60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FChPT</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16 700,00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13 820,00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16 945,00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28 367,00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27000,00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FA</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640,00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6 790,00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6 565,00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8 760,00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7000,00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MTF</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1 950,00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5 826,80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9 723,00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10 998,60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10882,00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FIIT</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2 375,00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5 896,00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4 970,00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8 000,00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7990,00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ÚM</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1 960,00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1 000,00</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1 000,00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3 000,00</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2000,00</w:t>
            </w:r>
          </w:p>
        </w:tc>
      </w:tr>
      <w:tr w:rsidR="00B51749" w:rsidRPr="00F0732E" w:rsidTr="00447572">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Spolu</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46 557,38</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59911,11</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80 095,16</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120193,74</w:t>
            </w:r>
          </w:p>
        </w:tc>
        <w:tc>
          <w:tcPr>
            <w:tcW w:w="1417" w:type="dxa"/>
            <w:tcBorders>
              <w:top w:val="single" w:sz="12" w:space="0" w:color="auto"/>
              <w:left w:val="single" w:sz="12" w:space="0" w:color="auto"/>
              <w:bottom w:val="single" w:sz="12" w:space="0" w:color="auto"/>
              <w:right w:val="single" w:sz="12" w:space="0" w:color="auto"/>
            </w:tcBorders>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110545,10</w:t>
            </w:r>
          </w:p>
        </w:tc>
      </w:tr>
    </w:tbl>
    <w:p w:rsidR="00B51749" w:rsidRPr="00F0732E" w:rsidRDefault="00B51749" w:rsidP="00B51749">
      <w:pPr>
        <w:autoSpaceDE w:val="0"/>
        <w:autoSpaceDN w:val="0"/>
        <w:adjustRightInd w:val="0"/>
        <w:rPr>
          <w:bCs/>
          <w:sz w:val="28"/>
          <w:szCs w:val="28"/>
        </w:rPr>
      </w:pPr>
    </w:p>
    <w:p w:rsidR="00B51749" w:rsidRPr="00F0732E" w:rsidRDefault="00B51749" w:rsidP="00B51749">
      <w:pPr>
        <w:autoSpaceDE w:val="0"/>
        <w:autoSpaceDN w:val="0"/>
        <w:adjustRightInd w:val="0"/>
        <w:rPr>
          <w:bCs/>
          <w:sz w:val="28"/>
          <w:szCs w:val="28"/>
        </w:rPr>
      </w:pPr>
      <w:r w:rsidRPr="00F0732E">
        <w:rPr>
          <w:bCs/>
          <w:sz w:val="28"/>
          <w:szCs w:val="28"/>
        </w:rPr>
        <w:t>Z predošlej tabuľky je zrejmé</w:t>
      </w:r>
      <w:r w:rsidR="008F277A">
        <w:rPr>
          <w:bCs/>
          <w:sz w:val="28"/>
          <w:szCs w:val="28"/>
        </w:rPr>
        <w:t>,</w:t>
      </w:r>
      <w:r w:rsidRPr="00F0732E">
        <w:rPr>
          <w:bCs/>
          <w:sz w:val="28"/>
          <w:szCs w:val="28"/>
        </w:rPr>
        <w:t xml:space="preserve"> že </w:t>
      </w:r>
      <w:r w:rsidRPr="00F0732E">
        <w:rPr>
          <w:b/>
          <w:bCs/>
          <w:sz w:val="28"/>
          <w:szCs w:val="28"/>
        </w:rPr>
        <w:t>STU od roku 2010 takmer strojnásobila objem finančných prostrie</w:t>
      </w:r>
      <w:r w:rsidR="008F277A">
        <w:rPr>
          <w:b/>
          <w:bCs/>
          <w:sz w:val="28"/>
          <w:szCs w:val="28"/>
        </w:rPr>
        <w:t>d</w:t>
      </w:r>
      <w:r w:rsidRPr="00F0732E">
        <w:rPr>
          <w:b/>
          <w:bCs/>
          <w:sz w:val="28"/>
          <w:szCs w:val="28"/>
        </w:rPr>
        <w:t>kov na podporu mladých výskumníkov</w:t>
      </w:r>
      <w:r w:rsidRPr="00F0732E">
        <w:rPr>
          <w:bCs/>
          <w:sz w:val="28"/>
          <w:szCs w:val="28"/>
        </w:rPr>
        <w:t>, čo považuje za dobrú investíciu najmä v oblasti personálneho budovania pracovísk univerzity.</w:t>
      </w:r>
    </w:p>
    <w:p w:rsidR="00B51749" w:rsidRPr="00F0732E" w:rsidRDefault="00B51749" w:rsidP="00B51749">
      <w:pPr>
        <w:autoSpaceDE w:val="0"/>
        <w:autoSpaceDN w:val="0"/>
        <w:adjustRightInd w:val="0"/>
        <w:ind w:firstLine="360"/>
        <w:rPr>
          <w:bCs/>
          <w:sz w:val="28"/>
          <w:szCs w:val="28"/>
        </w:rPr>
      </w:pPr>
      <w:r w:rsidRPr="00F0732E">
        <w:rPr>
          <w:b/>
          <w:bCs/>
          <w:sz w:val="28"/>
          <w:szCs w:val="28"/>
        </w:rPr>
        <w:t>V roku 2014 vyhlásila STU opätovne výzvu na tzv. Pokračujúce projekty mladých výskumníkov</w:t>
      </w:r>
      <w:r w:rsidR="00050066">
        <w:rPr>
          <w:bCs/>
          <w:sz w:val="28"/>
          <w:szCs w:val="28"/>
        </w:rPr>
        <w:t>, kde sa z ú</w:t>
      </w:r>
      <w:r w:rsidRPr="00F0732E">
        <w:rPr>
          <w:bCs/>
          <w:sz w:val="28"/>
          <w:szCs w:val="28"/>
        </w:rPr>
        <w:t>spešných riešiteľov vyššie uvedenej výzvy z predošlého obdobia vybralo 5 najkvalitnejších žiadostí, pričom pridelené granty boli dotované sumou do 3</w:t>
      </w:r>
      <w:r w:rsidR="00050066">
        <w:rPr>
          <w:bCs/>
          <w:sz w:val="28"/>
          <w:szCs w:val="28"/>
        </w:rPr>
        <w:t xml:space="preserve"> </w:t>
      </w:r>
      <w:r w:rsidRPr="00F0732E">
        <w:rPr>
          <w:bCs/>
          <w:sz w:val="28"/>
          <w:szCs w:val="28"/>
        </w:rPr>
        <w:t>000 €.</w:t>
      </w:r>
    </w:p>
    <w:p w:rsidR="00B51749" w:rsidRPr="00F0732E" w:rsidRDefault="00B51749" w:rsidP="00B51749">
      <w:pPr>
        <w:rPr>
          <w:bCs/>
          <w:sz w:val="28"/>
          <w:szCs w:val="28"/>
        </w:rPr>
      </w:pPr>
      <w:r w:rsidRPr="00F0732E">
        <w:rPr>
          <w:rFonts w:cs="Calibri"/>
          <w:bCs/>
          <w:color w:val="000000"/>
          <w:sz w:val="28"/>
          <w:szCs w:val="28"/>
        </w:rPr>
        <w:t xml:space="preserve">Tento program je zameraný na </w:t>
      </w:r>
      <w:r w:rsidRPr="00F0732E">
        <w:rPr>
          <w:rFonts w:cs="Calibri"/>
          <w:color w:val="000000"/>
          <w:sz w:val="28"/>
          <w:szCs w:val="28"/>
        </w:rPr>
        <w:t>zviditeľnenie excelentných mladých výskumníkov z jednotlivých súčastí STU (doktorandi a mladí výskumní pracovníci), ktorí v uplynulom roku úspešne riešili projekt STU v rámci výzvy Projektov mladých.</w:t>
      </w:r>
    </w:p>
    <w:p w:rsidR="00B51749" w:rsidRPr="00F0732E" w:rsidRDefault="00B51749" w:rsidP="00B51749">
      <w:pPr>
        <w:rPr>
          <w:rFonts w:cs="Calibri"/>
          <w:color w:val="000000"/>
          <w:sz w:val="28"/>
          <w:szCs w:val="28"/>
        </w:rPr>
      </w:pPr>
    </w:p>
    <w:p w:rsidR="00B51749" w:rsidRPr="00F0732E" w:rsidRDefault="00B51749" w:rsidP="00B51749">
      <w:pPr>
        <w:rPr>
          <w:rFonts w:cs="Calibri"/>
          <w:color w:val="000000"/>
          <w:sz w:val="28"/>
          <w:szCs w:val="28"/>
        </w:rPr>
      </w:pPr>
      <w:r w:rsidRPr="00F0732E">
        <w:rPr>
          <w:rFonts w:cs="Calibri"/>
          <w:color w:val="000000"/>
          <w:sz w:val="28"/>
          <w:szCs w:val="28"/>
        </w:rPr>
        <w:t>Počas septembra bolo vybraných 5 projektov, ktoré budú riešitelia riešiť do konca septembra 2015:</w:t>
      </w:r>
    </w:p>
    <w:p w:rsidR="00B51749" w:rsidRPr="00F0732E" w:rsidRDefault="00B51749" w:rsidP="00B51749">
      <w:pPr>
        <w:rPr>
          <w:rFonts w:cs="Calibri"/>
          <w:b/>
          <w:color w:val="000000"/>
          <w:sz w:val="28"/>
          <w:szCs w:val="28"/>
        </w:rPr>
      </w:pPr>
    </w:p>
    <w:p w:rsidR="00B51749" w:rsidRPr="00F0732E" w:rsidRDefault="00B51749" w:rsidP="00B51749">
      <w:pPr>
        <w:pStyle w:val="Odsekzoznamu"/>
        <w:numPr>
          <w:ilvl w:val="0"/>
          <w:numId w:val="31"/>
        </w:numPr>
        <w:spacing w:after="0" w:line="240" w:lineRule="auto"/>
        <w:rPr>
          <w:rFonts w:ascii="Cambria" w:hAnsi="Cambria" w:cs="Calibri"/>
          <w:color w:val="000000"/>
          <w:sz w:val="28"/>
          <w:szCs w:val="28"/>
        </w:rPr>
      </w:pPr>
      <w:r w:rsidRPr="00F0732E">
        <w:rPr>
          <w:rFonts w:ascii="Cambria" w:hAnsi="Cambria" w:cs="Calibri"/>
          <w:color w:val="000000"/>
          <w:sz w:val="28"/>
          <w:szCs w:val="28"/>
        </w:rPr>
        <w:t>Aplikácia generatívneho projektovania v automobilovom priemysle, AGEPROVAP, Ing. Jana Gavačová, SjF,</w:t>
      </w:r>
    </w:p>
    <w:p w:rsidR="00B51749" w:rsidRPr="00F0732E" w:rsidRDefault="00B51749" w:rsidP="00B51749">
      <w:pPr>
        <w:pStyle w:val="Odsekzoznamu"/>
        <w:numPr>
          <w:ilvl w:val="0"/>
          <w:numId w:val="31"/>
        </w:numPr>
        <w:spacing w:after="0" w:line="240" w:lineRule="auto"/>
        <w:rPr>
          <w:rFonts w:ascii="Cambria" w:hAnsi="Cambria" w:cs="Calibri"/>
          <w:color w:val="000000"/>
          <w:sz w:val="28"/>
          <w:szCs w:val="28"/>
        </w:rPr>
      </w:pPr>
      <w:r w:rsidRPr="00F0732E">
        <w:rPr>
          <w:rFonts w:ascii="Cambria" w:hAnsi="Cambria" w:cs="Calibri"/>
          <w:color w:val="000000"/>
          <w:sz w:val="28"/>
          <w:szCs w:val="28"/>
        </w:rPr>
        <w:t>Verifikácia únavového kritéria pri multiaxiálnom neproporcionálnom zaťažení (ťah-krut), MultiAx, Ing. Matúš Margetin, PhD., SjF,</w:t>
      </w:r>
    </w:p>
    <w:p w:rsidR="00B51749" w:rsidRPr="00F0732E" w:rsidRDefault="00B51749" w:rsidP="00B51749">
      <w:pPr>
        <w:pStyle w:val="Odsekzoznamu"/>
        <w:numPr>
          <w:ilvl w:val="0"/>
          <w:numId w:val="31"/>
        </w:numPr>
        <w:spacing w:after="0" w:line="240" w:lineRule="auto"/>
        <w:rPr>
          <w:rFonts w:ascii="Cambria" w:hAnsi="Cambria" w:cs="Calibri"/>
          <w:color w:val="000000"/>
          <w:sz w:val="28"/>
          <w:szCs w:val="28"/>
        </w:rPr>
      </w:pPr>
      <w:r w:rsidRPr="00F0732E">
        <w:rPr>
          <w:rFonts w:ascii="Cambria" w:hAnsi="Cambria" w:cs="Calibri"/>
          <w:color w:val="000000"/>
          <w:sz w:val="28"/>
          <w:szCs w:val="28"/>
        </w:rPr>
        <w:t>Rozšírená softvérová extrakcia charakteristických vlastností daktyloskopických vzorov, FingerDetective2014, Ing. Pavol Marák, FEI,</w:t>
      </w:r>
    </w:p>
    <w:p w:rsidR="00B51749" w:rsidRPr="00F0732E" w:rsidRDefault="00B51749" w:rsidP="00B51749">
      <w:pPr>
        <w:pStyle w:val="Odsekzoznamu"/>
        <w:numPr>
          <w:ilvl w:val="0"/>
          <w:numId w:val="31"/>
        </w:numPr>
        <w:spacing w:after="0" w:line="240" w:lineRule="auto"/>
        <w:rPr>
          <w:rFonts w:ascii="Cambria" w:hAnsi="Cambria" w:cs="Calibri"/>
          <w:color w:val="000000"/>
          <w:sz w:val="28"/>
          <w:szCs w:val="28"/>
        </w:rPr>
      </w:pPr>
      <w:r w:rsidRPr="00F0732E">
        <w:rPr>
          <w:rFonts w:ascii="Cambria" w:hAnsi="Cambria" w:cs="Calibri"/>
          <w:color w:val="000000"/>
          <w:sz w:val="28"/>
          <w:szCs w:val="28"/>
        </w:rPr>
        <w:t>Počiatočné štádiá a progres neurodegenerácie mozgu skúmané in vivo MRI a 1H, 31P MR spektroskopiou na animálnom modeli, EMERLAND, Mgr. Radka Tušková, FC</w:t>
      </w:r>
      <w:r w:rsidR="00050066">
        <w:rPr>
          <w:rFonts w:ascii="Cambria" w:hAnsi="Cambria" w:cs="Calibri"/>
          <w:color w:val="000000"/>
          <w:sz w:val="28"/>
          <w:szCs w:val="28"/>
        </w:rPr>
        <w:t>H</w:t>
      </w:r>
      <w:r w:rsidRPr="00F0732E">
        <w:rPr>
          <w:rFonts w:ascii="Cambria" w:hAnsi="Cambria" w:cs="Calibri"/>
          <w:color w:val="000000"/>
          <w:sz w:val="28"/>
          <w:szCs w:val="28"/>
        </w:rPr>
        <w:t>PT,</w:t>
      </w:r>
    </w:p>
    <w:p w:rsidR="00B51749" w:rsidRPr="00F0732E" w:rsidRDefault="00B51749" w:rsidP="00B51749">
      <w:pPr>
        <w:pStyle w:val="Odsekzoznamu"/>
        <w:numPr>
          <w:ilvl w:val="0"/>
          <w:numId w:val="31"/>
        </w:numPr>
        <w:spacing w:after="0" w:line="240" w:lineRule="auto"/>
        <w:rPr>
          <w:rFonts w:ascii="Cambria" w:hAnsi="Cambria" w:cs="Calibri"/>
          <w:color w:val="000000"/>
          <w:sz w:val="28"/>
          <w:szCs w:val="28"/>
        </w:rPr>
      </w:pPr>
      <w:r w:rsidRPr="00F0732E">
        <w:rPr>
          <w:rFonts w:ascii="Cambria" w:hAnsi="Cambria" w:cs="Calibri"/>
          <w:color w:val="000000"/>
          <w:sz w:val="28"/>
          <w:szCs w:val="28"/>
        </w:rPr>
        <w:t>Testovanie vybraných technológií a parametrov spájania titánu a zliatiny hliníka s využitím numerickej simulácie, AL-TI-NU-SIM, Ing. Eva Babalová, PhD., MTF.</w:t>
      </w:r>
    </w:p>
    <w:p w:rsidR="00B51749" w:rsidRPr="00F0732E" w:rsidRDefault="00B51749" w:rsidP="00B51749">
      <w:pPr>
        <w:autoSpaceDE w:val="0"/>
        <w:autoSpaceDN w:val="0"/>
        <w:adjustRightInd w:val="0"/>
        <w:rPr>
          <w:color w:val="FF0000"/>
          <w:sz w:val="28"/>
          <w:szCs w:val="28"/>
        </w:rPr>
      </w:pPr>
    </w:p>
    <w:p w:rsidR="00B51749" w:rsidRPr="00F0732E" w:rsidRDefault="00B51749" w:rsidP="00B51749">
      <w:pPr>
        <w:autoSpaceDE w:val="0"/>
        <w:autoSpaceDN w:val="0"/>
        <w:adjustRightInd w:val="0"/>
        <w:rPr>
          <w:color w:val="FF0000"/>
          <w:sz w:val="28"/>
          <w:szCs w:val="28"/>
        </w:rPr>
      </w:pPr>
    </w:p>
    <w:p w:rsidR="00B51749" w:rsidRPr="00F0732E" w:rsidRDefault="00B51749" w:rsidP="00B51749">
      <w:pPr>
        <w:autoSpaceDE w:val="0"/>
        <w:autoSpaceDN w:val="0"/>
        <w:adjustRightInd w:val="0"/>
        <w:rPr>
          <w:b/>
          <w:bCs/>
          <w:color w:val="FF0000"/>
          <w:sz w:val="28"/>
          <w:szCs w:val="28"/>
        </w:rPr>
      </w:pPr>
    </w:p>
    <w:p w:rsidR="00B51749" w:rsidRPr="00F0732E" w:rsidRDefault="00B51749" w:rsidP="00B51749">
      <w:pPr>
        <w:pStyle w:val="Nadpis3"/>
        <w:rPr>
          <w:rFonts w:ascii="Cambria" w:hAnsi="Cambria"/>
          <w:color w:val="auto"/>
          <w:sz w:val="28"/>
          <w:szCs w:val="28"/>
        </w:rPr>
      </w:pPr>
      <w:bookmarkStart w:id="33" w:name="_Toc413009336"/>
      <w:r w:rsidRPr="00F0732E">
        <w:rPr>
          <w:rFonts w:ascii="Cambria" w:hAnsi="Cambria"/>
          <w:color w:val="auto"/>
          <w:sz w:val="28"/>
          <w:szCs w:val="28"/>
        </w:rPr>
        <w:lastRenderedPageBreak/>
        <w:t>Ocenenie Vedec roka STU</w:t>
      </w:r>
      <w:bookmarkEnd w:id="33"/>
    </w:p>
    <w:p w:rsidR="00B51749" w:rsidRPr="00F0732E" w:rsidRDefault="00B51749" w:rsidP="00B51749">
      <w:pPr>
        <w:autoSpaceDE w:val="0"/>
        <w:autoSpaceDN w:val="0"/>
        <w:adjustRightInd w:val="0"/>
        <w:rPr>
          <w:bCs/>
          <w:color w:val="FF0000"/>
          <w:sz w:val="28"/>
          <w:szCs w:val="28"/>
        </w:rPr>
      </w:pPr>
    </w:p>
    <w:p w:rsidR="00B51749" w:rsidRPr="00F0732E" w:rsidRDefault="00B51749" w:rsidP="00B51749">
      <w:pPr>
        <w:autoSpaceDE w:val="0"/>
        <w:autoSpaceDN w:val="0"/>
        <w:adjustRightInd w:val="0"/>
        <w:rPr>
          <w:sz w:val="28"/>
          <w:szCs w:val="28"/>
        </w:rPr>
      </w:pPr>
      <w:r w:rsidRPr="00F0732E">
        <w:rPr>
          <w:sz w:val="28"/>
          <w:szCs w:val="28"/>
        </w:rPr>
        <w:t>Od roku 2007 sa každoročne vyhlasuje súťaž Vedec roka STU. Súťaž je vyjadrením osobitného uznania a ocenenia najlepších vedcov a vedeckých kolektívov na STU. Súťaž prebiehala v 2 kategóriách: mladý vedecký pracovník (do 35 rokov) a významný vedecký prínos.</w:t>
      </w:r>
    </w:p>
    <w:p w:rsidR="00B51749" w:rsidRPr="00F0732E" w:rsidRDefault="00B51749" w:rsidP="00B51749">
      <w:pPr>
        <w:autoSpaceDE w:val="0"/>
        <w:autoSpaceDN w:val="0"/>
        <w:adjustRightInd w:val="0"/>
        <w:ind w:firstLine="720"/>
        <w:rPr>
          <w:sz w:val="28"/>
          <w:szCs w:val="28"/>
        </w:rPr>
      </w:pPr>
    </w:p>
    <w:p w:rsidR="00B51749" w:rsidRPr="00F0732E" w:rsidRDefault="00B51749" w:rsidP="00B51749">
      <w:pPr>
        <w:autoSpaceDE w:val="0"/>
        <w:autoSpaceDN w:val="0"/>
        <w:adjustRightInd w:val="0"/>
        <w:ind w:firstLine="720"/>
        <w:rPr>
          <w:sz w:val="28"/>
          <w:szCs w:val="28"/>
        </w:rPr>
      </w:pPr>
      <w:r w:rsidRPr="00F0732E">
        <w:rPr>
          <w:sz w:val="28"/>
          <w:szCs w:val="28"/>
        </w:rPr>
        <w:t>V kategórii významný vedecký pr</w:t>
      </w:r>
      <w:r w:rsidR="00050066">
        <w:rPr>
          <w:sz w:val="28"/>
          <w:szCs w:val="28"/>
        </w:rPr>
        <w:t>í</w:t>
      </w:r>
      <w:r w:rsidRPr="00F0732E">
        <w:rPr>
          <w:sz w:val="28"/>
          <w:szCs w:val="28"/>
        </w:rPr>
        <w:t xml:space="preserve">nos bola ocenená </w:t>
      </w:r>
      <w:r w:rsidR="00050066" w:rsidRPr="0045282C">
        <w:rPr>
          <w:b/>
          <w:sz w:val="28"/>
          <w:szCs w:val="28"/>
        </w:rPr>
        <w:t>p</w:t>
      </w:r>
      <w:r w:rsidRPr="00F0732E">
        <w:rPr>
          <w:b/>
          <w:bCs/>
          <w:iCs/>
          <w:sz w:val="28"/>
          <w:szCs w:val="28"/>
        </w:rPr>
        <w:t xml:space="preserve">rof. Dr. Ing. arch. Henrieta Moravčíková </w:t>
      </w:r>
      <w:r w:rsidRPr="00F0732E">
        <w:rPr>
          <w:bCs/>
          <w:iCs/>
          <w:sz w:val="28"/>
          <w:szCs w:val="28"/>
        </w:rPr>
        <w:t xml:space="preserve">z Ústavu dejín a teórie architektúry a obnovy pamiatok Fakulty architektúry STU: </w:t>
      </w:r>
      <w:r w:rsidRPr="00F0732E">
        <w:rPr>
          <w:b/>
          <w:iCs/>
          <w:sz w:val="28"/>
          <w:szCs w:val="28"/>
        </w:rPr>
        <w:t>Za významné výsledky v oblasti výskumu architektúry 20. a 21. storočia na Slovensku z hľadiska histórie, konštrukčných, funkčných a typologických špecifík a pamiatkovej ochrany</w:t>
      </w:r>
      <w:r w:rsidRPr="00F0732E">
        <w:rPr>
          <w:iCs/>
          <w:sz w:val="28"/>
          <w:szCs w:val="28"/>
        </w:rPr>
        <w:t xml:space="preserve"> </w:t>
      </w:r>
    </w:p>
    <w:p w:rsidR="00B51749" w:rsidRPr="00F0732E" w:rsidRDefault="00B51749" w:rsidP="00B51749">
      <w:pPr>
        <w:pStyle w:val="Normlnywebov"/>
        <w:ind w:firstLine="360"/>
        <w:rPr>
          <w:rFonts w:ascii="Cambria" w:hAnsi="Cambria"/>
          <w:b/>
          <w:sz w:val="28"/>
          <w:szCs w:val="28"/>
        </w:rPr>
      </w:pPr>
      <w:r w:rsidRPr="00F0732E">
        <w:rPr>
          <w:rFonts w:ascii="Cambria" w:hAnsi="Cambria"/>
          <w:bCs/>
          <w:iCs/>
          <w:sz w:val="28"/>
          <w:szCs w:val="28"/>
        </w:rPr>
        <w:t>V kategórii mladý vedecký pracovník</w:t>
      </w:r>
      <w:r w:rsidRPr="00F0732E">
        <w:rPr>
          <w:rFonts w:ascii="Cambria" w:hAnsi="Cambria"/>
          <w:b/>
          <w:bCs/>
          <w:iCs/>
          <w:sz w:val="28"/>
          <w:szCs w:val="28"/>
        </w:rPr>
        <w:t xml:space="preserve"> bol ocenený Mgr. Marián Palcut, PhD., </w:t>
      </w:r>
      <w:r w:rsidRPr="00F0732E">
        <w:rPr>
          <w:rFonts w:ascii="Cambria" w:hAnsi="Cambria"/>
          <w:bCs/>
          <w:iCs/>
          <w:sz w:val="28"/>
          <w:szCs w:val="28"/>
        </w:rPr>
        <w:t>z Ústavu materiálov Materiálovotechnologickej fakulty STU:</w:t>
      </w:r>
      <w:r w:rsidR="00050066">
        <w:rPr>
          <w:rFonts w:ascii="Cambria" w:hAnsi="Cambria"/>
          <w:bCs/>
          <w:iCs/>
          <w:sz w:val="28"/>
          <w:szCs w:val="28"/>
        </w:rPr>
        <w:t xml:space="preserve"> </w:t>
      </w:r>
      <w:r w:rsidRPr="00F0732E">
        <w:rPr>
          <w:rFonts w:ascii="Cambria" w:hAnsi="Cambria"/>
          <w:b/>
          <w:iCs/>
          <w:sz w:val="28"/>
          <w:szCs w:val="28"/>
        </w:rPr>
        <w:t xml:space="preserve">Za komplexné štúdium degradačných procesov v nových a perspektívnych materiáloch. Vo svojej práci sa venuje štúdiu oxidácie a degradácie progresívnych kovových a nekovových materiálov so zameraním na štúdium koróznej odolnosti bezolovnatých spájok a komplexných kovových zliatin. </w:t>
      </w:r>
    </w:p>
    <w:p w:rsidR="00B51749" w:rsidRPr="00F0732E" w:rsidRDefault="00B51749" w:rsidP="00B51749">
      <w:pPr>
        <w:rPr>
          <w:color w:val="FF0000"/>
          <w:sz w:val="28"/>
          <w:szCs w:val="28"/>
        </w:rPr>
      </w:pPr>
    </w:p>
    <w:p w:rsidR="00B51749" w:rsidRPr="00F0732E" w:rsidRDefault="00B51749" w:rsidP="00B51749">
      <w:pPr>
        <w:pStyle w:val="Nadpis3"/>
        <w:rPr>
          <w:rFonts w:ascii="Cambria" w:hAnsi="Cambria"/>
          <w:color w:val="auto"/>
          <w:sz w:val="28"/>
          <w:szCs w:val="28"/>
        </w:rPr>
      </w:pPr>
      <w:bookmarkStart w:id="34" w:name="_Toc413009337"/>
      <w:r w:rsidRPr="00F0732E">
        <w:rPr>
          <w:rFonts w:ascii="Cambria" w:hAnsi="Cambria"/>
          <w:color w:val="auto"/>
          <w:sz w:val="28"/>
          <w:szCs w:val="28"/>
        </w:rPr>
        <w:t>Výzva o najlepšiu publikáciu</w:t>
      </w:r>
      <w:bookmarkEnd w:id="34"/>
    </w:p>
    <w:p w:rsidR="00B51749" w:rsidRPr="00F0732E" w:rsidRDefault="00B51749" w:rsidP="00B51749">
      <w:pPr>
        <w:rPr>
          <w:color w:val="FF0000"/>
          <w:sz w:val="28"/>
          <w:szCs w:val="28"/>
          <w:lang w:eastAsia="cs-CZ"/>
        </w:rPr>
      </w:pPr>
    </w:p>
    <w:p w:rsidR="00B51749" w:rsidRPr="00F0732E" w:rsidRDefault="00B51749" w:rsidP="00B51749">
      <w:pPr>
        <w:rPr>
          <w:sz w:val="28"/>
          <w:szCs w:val="28"/>
        </w:rPr>
      </w:pPr>
      <w:r w:rsidRPr="00F0732E">
        <w:rPr>
          <w:sz w:val="28"/>
          <w:szCs w:val="28"/>
        </w:rPr>
        <w:t>Všetky medzinárodné rankingové agentúry ako jeden z primárnych vstupov pre hodnotenie aplikujú informácie o publikačných aktivitách hodnoteného subjektu s akcentom na vedecké publikácie v špičkových vysoko impaktovaných periodikách. Takto napr. špeciálne miesto v hodnotiacich kritériách má publikovanie v časopisoch Nature a Science. Od roku 1996 podľa informácií dostupných z databázy SCOPUS žiaden pracovník STU nepublikoval v uvedených periodikách, pričom v časopise NATURE (IF=38,1) bolo na Slovensku 20 publikácií a v časopise SCIENCE (IF=31,0) 39 publikácií, väčšinou v spoluautorstve od pracovníkov SAV prípadne UK.</w:t>
      </w:r>
    </w:p>
    <w:p w:rsidR="00B51749" w:rsidRPr="00F0732E" w:rsidRDefault="00B51749" w:rsidP="00B51749">
      <w:pPr>
        <w:ind w:firstLine="708"/>
        <w:rPr>
          <w:sz w:val="28"/>
          <w:szCs w:val="28"/>
        </w:rPr>
      </w:pPr>
    </w:p>
    <w:p w:rsidR="00B51749" w:rsidRPr="00F0732E" w:rsidRDefault="00B51749" w:rsidP="00B51749">
      <w:pPr>
        <w:ind w:firstLine="708"/>
        <w:rPr>
          <w:sz w:val="28"/>
          <w:szCs w:val="28"/>
        </w:rPr>
      </w:pPr>
      <w:r w:rsidRPr="00F0732E">
        <w:rPr>
          <w:sz w:val="28"/>
          <w:szCs w:val="28"/>
        </w:rPr>
        <w:t>Rektor STU v snahe naplniť jednu z kľúčových úloh smerujúcich k posilneniu motivácie pracovníkov STU na publikovanie v špičkových a vysoko impaktovaných periodikách vyhlásil v roku 2013 finančne dotovanú výzvu o:</w:t>
      </w:r>
    </w:p>
    <w:p w:rsidR="00B51749" w:rsidRPr="00F0732E" w:rsidRDefault="00B51749" w:rsidP="00B51749">
      <w:pPr>
        <w:ind w:firstLine="708"/>
        <w:rPr>
          <w:sz w:val="28"/>
          <w:szCs w:val="28"/>
        </w:rPr>
      </w:pPr>
    </w:p>
    <w:p w:rsidR="00B51749" w:rsidRPr="00F0732E" w:rsidRDefault="00B51749" w:rsidP="00B51749">
      <w:pPr>
        <w:pStyle w:val="Odsekzoznamu"/>
        <w:numPr>
          <w:ilvl w:val="0"/>
          <w:numId w:val="8"/>
        </w:numPr>
        <w:spacing w:line="240" w:lineRule="auto"/>
        <w:rPr>
          <w:rFonts w:ascii="Cambria" w:hAnsi="Cambria"/>
          <w:sz w:val="28"/>
          <w:szCs w:val="28"/>
        </w:rPr>
      </w:pPr>
      <w:r w:rsidRPr="00F0732E">
        <w:rPr>
          <w:rFonts w:ascii="Cambria" w:hAnsi="Cambria"/>
          <w:b/>
          <w:sz w:val="28"/>
          <w:szCs w:val="28"/>
        </w:rPr>
        <w:t>Publikáciu v časopise NATURE alebo SCIENCE</w:t>
      </w:r>
    </w:p>
    <w:p w:rsidR="00B51749" w:rsidRPr="00F0732E" w:rsidRDefault="00B51749" w:rsidP="00B51749">
      <w:pPr>
        <w:pStyle w:val="Odsekzoznamu"/>
        <w:numPr>
          <w:ilvl w:val="0"/>
          <w:numId w:val="8"/>
        </w:numPr>
        <w:spacing w:line="240" w:lineRule="auto"/>
        <w:rPr>
          <w:rFonts w:ascii="Cambria" w:hAnsi="Cambria"/>
          <w:b/>
          <w:sz w:val="28"/>
          <w:szCs w:val="28"/>
        </w:rPr>
      </w:pPr>
      <w:r w:rsidRPr="00F0732E">
        <w:rPr>
          <w:rFonts w:ascii="Cambria" w:hAnsi="Cambria"/>
          <w:b/>
          <w:sz w:val="28"/>
          <w:szCs w:val="28"/>
        </w:rPr>
        <w:lastRenderedPageBreak/>
        <w:t>Publikáciu, ktorá vyšla v roku 2014 v časopise s najvyšším impakt faktorom</w:t>
      </w:r>
    </w:p>
    <w:p w:rsidR="00B51749" w:rsidRPr="00F0732E" w:rsidRDefault="00B51749" w:rsidP="00B51749">
      <w:pPr>
        <w:pStyle w:val="Odsekzoznamu"/>
        <w:numPr>
          <w:ilvl w:val="0"/>
          <w:numId w:val="9"/>
        </w:numPr>
        <w:spacing w:line="240" w:lineRule="auto"/>
        <w:rPr>
          <w:rFonts w:ascii="Cambria" w:hAnsi="Cambria"/>
          <w:b/>
          <w:sz w:val="28"/>
          <w:szCs w:val="28"/>
        </w:rPr>
      </w:pPr>
      <w:r w:rsidRPr="00F0732E">
        <w:rPr>
          <w:rFonts w:ascii="Cambria" w:hAnsi="Cambria"/>
          <w:b/>
          <w:sz w:val="28"/>
          <w:szCs w:val="28"/>
        </w:rPr>
        <w:t>v prírodovedných odbor</w:t>
      </w:r>
      <w:r w:rsidR="00050066">
        <w:rPr>
          <w:rFonts w:ascii="Cambria" w:hAnsi="Cambria"/>
          <w:b/>
          <w:sz w:val="28"/>
          <w:szCs w:val="28"/>
        </w:rPr>
        <w:t xml:space="preserve">och (chémia, fyzika, biológia, </w:t>
      </w:r>
      <w:r w:rsidRPr="00F0732E">
        <w:rPr>
          <w:rFonts w:ascii="Cambria" w:hAnsi="Cambria"/>
          <w:b/>
          <w:sz w:val="28"/>
          <w:szCs w:val="28"/>
        </w:rPr>
        <w:t>matematika)</w:t>
      </w:r>
    </w:p>
    <w:p w:rsidR="00B51749" w:rsidRPr="00F0732E" w:rsidRDefault="00B51749" w:rsidP="00B51749">
      <w:pPr>
        <w:pStyle w:val="Odsekzoznamu"/>
        <w:numPr>
          <w:ilvl w:val="0"/>
          <w:numId w:val="9"/>
        </w:numPr>
        <w:spacing w:line="240" w:lineRule="auto"/>
        <w:rPr>
          <w:rFonts w:ascii="Cambria" w:hAnsi="Cambria"/>
          <w:b/>
          <w:sz w:val="28"/>
          <w:szCs w:val="28"/>
        </w:rPr>
      </w:pPr>
      <w:r w:rsidRPr="00F0732E">
        <w:rPr>
          <w:rFonts w:ascii="Cambria" w:hAnsi="Cambria"/>
          <w:b/>
          <w:sz w:val="28"/>
          <w:szCs w:val="28"/>
        </w:rPr>
        <w:t>v technických odboroch</w:t>
      </w:r>
    </w:p>
    <w:p w:rsidR="00B51749" w:rsidRPr="00F0732E" w:rsidRDefault="00B51749" w:rsidP="00B51749">
      <w:pPr>
        <w:pStyle w:val="Odsekzoznamu"/>
        <w:numPr>
          <w:ilvl w:val="0"/>
          <w:numId w:val="8"/>
        </w:numPr>
        <w:spacing w:line="240" w:lineRule="auto"/>
        <w:rPr>
          <w:rFonts w:ascii="Cambria" w:hAnsi="Cambria"/>
          <w:b/>
          <w:sz w:val="28"/>
          <w:szCs w:val="28"/>
        </w:rPr>
      </w:pPr>
      <w:r w:rsidRPr="00F0732E">
        <w:rPr>
          <w:rFonts w:ascii="Cambria" w:hAnsi="Cambria"/>
          <w:b/>
          <w:sz w:val="28"/>
          <w:szCs w:val="28"/>
        </w:rPr>
        <w:t>Publikáciu, ktorá bola publikovaná v rokoch 2012</w:t>
      </w:r>
      <w:r w:rsidR="00050066">
        <w:rPr>
          <w:rFonts w:ascii="Cambria" w:hAnsi="Cambria"/>
          <w:b/>
          <w:sz w:val="28"/>
          <w:szCs w:val="28"/>
        </w:rPr>
        <w:t xml:space="preserve"> – </w:t>
      </w:r>
      <w:r w:rsidRPr="00F0732E">
        <w:rPr>
          <w:rFonts w:ascii="Cambria" w:hAnsi="Cambria"/>
          <w:b/>
          <w:sz w:val="28"/>
          <w:szCs w:val="28"/>
        </w:rPr>
        <w:t>2014 a mala najvyšší počet ohlasov podľa SCI.</w:t>
      </w:r>
    </w:p>
    <w:p w:rsidR="00B51749" w:rsidRPr="00F0732E" w:rsidRDefault="00B51749" w:rsidP="00B51749">
      <w:pPr>
        <w:rPr>
          <w:sz w:val="28"/>
          <w:szCs w:val="28"/>
        </w:rPr>
      </w:pPr>
      <w:r w:rsidRPr="00F0732E">
        <w:rPr>
          <w:sz w:val="28"/>
          <w:szCs w:val="28"/>
        </w:rPr>
        <w:t>Výzva o najlepšiu publikáciu v roku 2014 bola vyhlásená v súlade so schváleným harmonogramom s termínom uzávierky 15.</w:t>
      </w:r>
      <w:r w:rsidR="00050066">
        <w:rPr>
          <w:sz w:val="28"/>
          <w:szCs w:val="28"/>
        </w:rPr>
        <w:t xml:space="preserve"> </w:t>
      </w:r>
      <w:r w:rsidRPr="00F0732E">
        <w:rPr>
          <w:sz w:val="28"/>
          <w:szCs w:val="28"/>
        </w:rPr>
        <w:t>12.</w:t>
      </w:r>
      <w:r w:rsidR="00050066">
        <w:rPr>
          <w:sz w:val="28"/>
          <w:szCs w:val="28"/>
        </w:rPr>
        <w:t xml:space="preserve"> </w:t>
      </w:r>
      <w:r w:rsidRPr="00F0732E">
        <w:rPr>
          <w:sz w:val="28"/>
          <w:szCs w:val="28"/>
        </w:rPr>
        <w:t xml:space="preserve">2014. Do stanoveného termínu sme </w:t>
      </w:r>
      <w:r w:rsidR="00050066">
        <w:rPr>
          <w:sz w:val="28"/>
          <w:szCs w:val="28"/>
        </w:rPr>
        <w:t>dostali</w:t>
      </w:r>
      <w:r w:rsidRPr="00F0732E">
        <w:rPr>
          <w:sz w:val="28"/>
          <w:szCs w:val="28"/>
        </w:rPr>
        <w:t xml:space="preserve"> v kategórii II (publikácie, ktoré vyšli v roku 2014 a impakt factor časopisu presiahol stanovený prah) 4 návrhy v kategórii prírodovedných prác a 6 publikácií v kategórii prác v technických odboroch. Žiaden návrh nepodali zo SjF, FIIT a FA. Na základe schválenej schémy vyhodnotenia výzvy boli na oc</w:t>
      </w:r>
      <w:r w:rsidR="00050066">
        <w:rPr>
          <w:sz w:val="28"/>
          <w:szCs w:val="28"/>
        </w:rPr>
        <w:t>enenie vybrané nasledovné práce</w:t>
      </w:r>
      <w:r w:rsidRPr="00F0732E">
        <w:rPr>
          <w:sz w:val="28"/>
          <w:szCs w:val="28"/>
        </w:rPr>
        <w:t>:</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Kategória I</w:t>
      </w:r>
      <w:r w:rsidR="00050066">
        <w:rPr>
          <w:b/>
          <w:sz w:val="28"/>
          <w:szCs w:val="28"/>
        </w:rPr>
        <w:t>Ia (prírodné vedy a matematika)</w:t>
      </w:r>
      <w:r w:rsidRPr="00F0732E">
        <w:rPr>
          <w:b/>
          <w:sz w:val="28"/>
          <w:szCs w:val="28"/>
        </w:rPr>
        <w:t>:</w:t>
      </w:r>
    </w:p>
    <w:p w:rsidR="00B51749" w:rsidRPr="00F0732E" w:rsidRDefault="00B51749" w:rsidP="00B51749">
      <w:pPr>
        <w:ind w:left="708"/>
        <w:rPr>
          <w:sz w:val="28"/>
          <w:szCs w:val="28"/>
        </w:rPr>
      </w:pPr>
    </w:p>
    <w:p w:rsidR="00B51749" w:rsidRPr="00F0732E" w:rsidRDefault="00B51749" w:rsidP="00B51749">
      <w:pPr>
        <w:rPr>
          <w:sz w:val="28"/>
          <w:szCs w:val="28"/>
        </w:rPr>
      </w:pPr>
      <w:r w:rsidRPr="00F0732E">
        <w:rPr>
          <w:b/>
          <w:sz w:val="28"/>
          <w:szCs w:val="28"/>
        </w:rPr>
        <w:t>Milan Hronec (FCHPT)</w:t>
      </w:r>
      <w:r w:rsidRPr="00F0732E">
        <w:rPr>
          <w:sz w:val="28"/>
          <w:szCs w:val="28"/>
        </w:rPr>
        <w:t>: Highly selective rearrangement of furfuryl alcohol to cyclopentanone,  Applied Catalysis, B-Environmental, Vol. 154, 2014, 294-300 (IF=6,007).</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K</w:t>
      </w:r>
      <w:r w:rsidR="00050066">
        <w:rPr>
          <w:b/>
          <w:sz w:val="28"/>
          <w:szCs w:val="28"/>
        </w:rPr>
        <w:t>ategória IIb (technické odbory)</w:t>
      </w:r>
      <w:r w:rsidRPr="00F0732E">
        <w:rPr>
          <w:b/>
          <w:sz w:val="28"/>
          <w:szCs w:val="28"/>
        </w:rPr>
        <w:t>:</w:t>
      </w:r>
    </w:p>
    <w:p w:rsidR="00B51749" w:rsidRPr="00F0732E" w:rsidRDefault="00B51749" w:rsidP="00B51749">
      <w:pPr>
        <w:rPr>
          <w:sz w:val="28"/>
          <w:szCs w:val="28"/>
        </w:rPr>
      </w:pPr>
    </w:p>
    <w:p w:rsidR="00B51749" w:rsidRPr="00F0732E" w:rsidRDefault="00B51749" w:rsidP="00B51749">
      <w:pPr>
        <w:rPr>
          <w:sz w:val="28"/>
          <w:szCs w:val="28"/>
        </w:rPr>
      </w:pPr>
      <w:r w:rsidRPr="00F0732E">
        <w:rPr>
          <w:b/>
          <w:sz w:val="28"/>
          <w:szCs w:val="28"/>
        </w:rPr>
        <w:t>Ján Uhrík (FEI)</w:t>
      </w:r>
      <w:r w:rsidRPr="00F0732E">
        <w:rPr>
          <w:sz w:val="28"/>
          <w:szCs w:val="28"/>
        </w:rPr>
        <w:t>: Effects of substrate condition on calcium corrosion and its role in the calcium test for water vapour transmission rate, Corrosion Science, Vol. 88, 400-404, 2014 (IF=3,686).</w:t>
      </w:r>
    </w:p>
    <w:p w:rsidR="00B51749" w:rsidRDefault="00B51749" w:rsidP="00B51749">
      <w:pPr>
        <w:rPr>
          <w:sz w:val="28"/>
          <w:szCs w:val="28"/>
        </w:rPr>
      </w:pPr>
    </w:p>
    <w:p w:rsidR="00012C3E" w:rsidRPr="00F0732E" w:rsidRDefault="00012C3E" w:rsidP="00B51749">
      <w:pPr>
        <w:rPr>
          <w:sz w:val="28"/>
          <w:szCs w:val="28"/>
        </w:rPr>
      </w:pPr>
    </w:p>
    <w:p w:rsidR="00B51749" w:rsidRDefault="00B51749" w:rsidP="00B51749">
      <w:pPr>
        <w:pStyle w:val="Nadpis3"/>
        <w:rPr>
          <w:rFonts w:ascii="Cambria" w:hAnsi="Cambria"/>
          <w:sz w:val="28"/>
          <w:szCs w:val="28"/>
        </w:rPr>
      </w:pPr>
      <w:bookmarkStart w:id="35" w:name="_Toc413009338"/>
      <w:r w:rsidRPr="00F0732E">
        <w:rPr>
          <w:rFonts w:ascii="Cambria" w:hAnsi="Cambria"/>
          <w:sz w:val="28"/>
          <w:szCs w:val="28"/>
        </w:rPr>
        <w:t>. Pos</w:t>
      </w:r>
      <w:r w:rsidR="00050066">
        <w:rPr>
          <w:rFonts w:ascii="Cambria" w:hAnsi="Cambria"/>
          <w:sz w:val="28"/>
          <w:szCs w:val="28"/>
        </w:rPr>
        <w:t>t</w:t>
      </w:r>
      <w:r w:rsidRPr="00F0732E">
        <w:rPr>
          <w:rFonts w:ascii="Cambria" w:hAnsi="Cambria"/>
          <w:sz w:val="28"/>
          <w:szCs w:val="28"/>
        </w:rPr>
        <w:t>doktorandské pracovné pobyty</w:t>
      </w:r>
      <w:bookmarkEnd w:id="35"/>
    </w:p>
    <w:p w:rsidR="00012C3E" w:rsidRPr="00012C3E" w:rsidRDefault="00012C3E" w:rsidP="00012C3E">
      <w:pPr>
        <w:rPr>
          <w:lang w:eastAsia="cs-CZ"/>
        </w:rPr>
      </w:pPr>
    </w:p>
    <w:p w:rsidR="00B51749" w:rsidRPr="00F0732E" w:rsidRDefault="00B51749" w:rsidP="00B51749">
      <w:pPr>
        <w:rPr>
          <w:sz w:val="28"/>
          <w:szCs w:val="28"/>
        </w:rPr>
      </w:pPr>
      <w:r w:rsidRPr="00F0732E">
        <w:rPr>
          <w:sz w:val="28"/>
          <w:szCs w:val="28"/>
        </w:rPr>
        <w:tab/>
        <w:t>V roku 2014 Slovenská technická univerzita naštartovala program postdoktorandských pracovných pobytov pre mladých pracovníkov do 35 rokov s preferenciou pritiahnuť na univerzitu uchádzačov z prostredia mimo STU. Takto bolo vypísaných 5 aktuálnych tém a v súčasnosti sú tri takéto postdoktorandské pracovné miesta obsadené, ďalšie dve sú v štádiu riešenia administratívnych prekážok, keďže sa jedná o uchádzačov mimo EÚ.</w:t>
      </w:r>
    </w:p>
    <w:p w:rsidR="00B51749" w:rsidRPr="00F0732E" w:rsidRDefault="00B51749" w:rsidP="00B51749">
      <w:pPr>
        <w:rPr>
          <w:sz w:val="28"/>
          <w:szCs w:val="28"/>
        </w:rPr>
      </w:pPr>
    </w:p>
    <w:p w:rsidR="00B51749" w:rsidRPr="00F0732E" w:rsidRDefault="00B51749" w:rsidP="00B51749">
      <w:pPr>
        <w:pStyle w:val="Nadpis2"/>
        <w:rPr>
          <w:rFonts w:ascii="Cambria" w:hAnsi="Cambria"/>
        </w:rPr>
      </w:pPr>
      <w:bookmarkStart w:id="36" w:name="_Toc413009339"/>
      <w:r w:rsidRPr="00F0732E">
        <w:rPr>
          <w:rFonts w:ascii="Cambria" w:hAnsi="Cambria"/>
        </w:rPr>
        <w:lastRenderedPageBreak/>
        <w:t>Evaluácia vedecko-výskumnej činnosti STU za obdobie rokov 2011-2014 na báze  softvérového produktu SciVal</w:t>
      </w:r>
      <w:bookmarkEnd w:id="36"/>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V nasledovnej stati sú zosumarizované základné informácie o vedecko-výskumnej výkonnosti Slovenskej technickej univerzity v Bratislave za obdobie rokov 2011</w:t>
      </w:r>
      <w:r w:rsidR="001E4CCF">
        <w:rPr>
          <w:sz w:val="28"/>
          <w:szCs w:val="28"/>
        </w:rPr>
        <w:t xml:space="preserve"> – </w:t>
      </w:r>
      <w:r w:rsidRPr="00F0732E">
        <w:rPr>
          <w:sz w:val="28"/>
          <w:szCs w:val="28"/>
        </w:rPr>
        <w:t xml:space="preserve">2014. Analýza sa uskutočnila na základe podkladov získaných pomocou softvérového produktu </w:t>
      </w:r>
      <w:r w:rsidRPr="00F0732E">
        <w:rPr>
          <w:i/>
          <w:sz w:val="28"/>
          <w:szCs w:val="28"/>
        </w:rPr>
        <w:t>SciVal</w:t>
      </w:r>
      <w:r w:rsidRPr="00F0732E">
        <w:rPr>
          <w:sz w:val="28"/>
          <w:szCs w:val="28"/>
        </w:rPr>
        <w:t xml:space="preserve"> vyvinutého spoločnosťou Elsevier, ktorý predstavuje webovo orientovaný nástroj využívajúci kocitačnú analýzu výskumných výstupov na vymedzenie výskumných kompetencií organizácie. Uvedený softvérový produkt pracuje nad databázou SCOPUS (stav databázy k 4. 12. 2014) a umožňuje o. i. porovnanie  vedecko-výskumnej výkonnosti medzi vybranými inštitúciami.</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Graf 5.18: Porovnanie vývoja počtu publikácii evidovaných v database SCOPUS (stav databázy k 4. 12: 2014) za roky 2011</w:t>
      </w:r>
      <w:r w:rsidR="001E4CCF">
        <w:rPr>
          <w:b/>
          <w:sz w:val="28"/>
          <w:szCs w:val="28"/>
        </w:rPr>
        <w:t xml:space="preserve"> – </w:t>
      </w:r>
      <w:r w:rsidRPr="00F0732E">
        <w:rPr>
          <w:b/>
          <w:sz w:val="28"/>
          <w:szCs w:val="28"/>
        </w:rPr>
        <w:t>2014 medzi niektorými slovenskými verejnými vysokými školami</w:t>
      </w: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4572000" cy="2743200"/>
            <wp:effectExtent l="0" t="0" r="0" b="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Z </w:t>
      </w:r>
      <w:r w:rsidR="003D2012">
        <w:rPr>
          <w:sz w:val="28"/>
          <w:szCs w:val="28"/>
        </w:rPr>
        <w:t>G</w:t>
      </w:r>
      <w:r w:rsidRPr="00F0732E">
        <w:rPr>
          <w:sz w:val="28"/>
          <w:szCs w:val="28"/>
        </w:rPr>
        <w:t>rafu 5.18 je zrejmý rastúci trend v počte publikácií evidovaných v datab</w:t>
      </w:r>
      <w:r w:rsidR="00372A52">
        <w:rPr>
          <w:sz w:val="28"/>
          <w:szCs w:val="28"/>
        </w:rPr>
        <w:t>áz</w:t>
      </w:r>
      <w:r w:rsidRPr="00F0732E">
        <w:rPr>
          <w:sz w:val="28"/>
          <w:szCs w:val="28"/>
        </w:rPr>
        <w:t xml:space="preserve">e SCOPUS za ostatné štyri roky. </w:t>
      </w:r>
    </w:p>
    <w:p w:rsidR="00B51749" w:rsidRPr="00F0732E" w:rsidRDefault="00B51749" w:rsidP="00B51749">
      <w:pPr>
        <w:rPr>
          <w:sz w:val="28"/>
          <w:szCs w:val="28"/>
        </w:rPr>
      </w:pPr>
    </w:p>
    <w:p w:rsidR="00B51749" w:rsidRPr="00F0732E" w:rsidRDefault="00B51749" w:rsidP="00B51749">
      <w:pPr>
        <w:ind w:firstLine="720"/>
        <w:rPr>
          <w:sz w:val="28"/>
          <w:szCs w:val="28"/>
        </w:rPr>
      </w:pPr>
      <w:r w:rsidRPr="00F0732E">
        <w:rPr>
          <w:sz w:val="28"/>
          <w:szCs w:val="28"/>
        </w:rPr>
        <w:t xml:space="preserve">Významnú výpovednú hodnotu o kvalite publikačných výstupov má informácia o percente publikácií, ktoré spadajú do určitého intervalu najcitovanejších publikácií v rámci celého sveta (tzv. 10 % top percentile). Nasledovný </w:t>
      </w:r>
      <w:r w:rsidR="003D2012">
        <w:rPr>
          <w:sz w:val="28"/>
          <w:szCs w:val="28"/>
        </w:rPr>
        <w:t>G</w:t>
      </w:r>
      <w:r w:rsidRPr="00F0732E">
        <w:rPr>
          <w:sz w:val="28"/>
          <w:szCs w:val="28"/>
        </w:rPr>
        <w:t>raf 5.19 podáva informáciu o vývoji podielu publikácií, ktoré spadajú do interval</w:t>
      </w:r>
      <w:r w:rsidR="001E4CCF">
        <w:rPr>
          <w:sz w:val="28"/>
          <w:szCs w:val="28"/>
        </w:rPr>
        <w:t>u</w:t>
      </w:r>
      <w:r w:rsidRPr="00F0732E">
        <w:rPr>
          <w:sz w:val="28"/>
          <w:szCs w:val="28"/>
        </w:rPr>
        <w:t xml:space="preserve"> 10 % najcitovanejších prác v rámci celého sveta za obdobie rokov 2011</w:t>
      </w:r>
      <w:r w:rsidR="001E4CCF">
        <w:rPr>
          <w:sz w:val="28"/>
          <w:szCs w:val="28"/>
        </w:rPr>
        <w:t xml:space="preserve"> – </w:t>
      </w:r>
      <w:r w:rsidRPr="00F0732E">
        <w:rPr>
          <w:sz w:val="28"/>
          <w:szCs w:val="28"/>
        </w:rPr>
        <w:t>2014 pre 6 vybraných slovenských vysokých škôl.</w:t>
      </w:r>
    </w:p>
    <w:p w:rsidR="00B51749" w:rsidRPr="00F0732E" w:rsidRDefault="00B51749" w:rsidP="00B51749">
      <w:pPr>
        <w:jc w:val="center"/>
        <w:rPr>
          <w:b/>
          <w:sz w:val="28"/>
          <w:szCs w:val="28"/>
        </w:rPr>
      </w:pPr>
    </w:p>
    <w:p w:rsidR="00B51749" w:rsidRPr="00F0732E" w:rsidRDefault="00B51749" w:rsidP="00B51749">
      <w:pPr>
        <w:jc w:val="left"/>
        <w:rPr>
          <w:b/>
          <w:sz w:val="28"/>
          <w:szCs w:val="28"/>
        </w:rPr>
      </w:pPr>
      <w:r w:rsidRPr="00F0732E">
        <w:rPr>
          <w:b/>
          <w:sz w:val="28"/>
          <w:szCs w:val="28"/>
        </w:rPr>
        <w:t>Graf 5.19: Vývoj počtu publikácii v 10 % percentile za roky 2011</w:t>
      </w:r>
      <w:r w:rsidR="001E4CCF">
        <w:rPr>
          <w:b/>
          <w:sz w:val="28"/>
          <w:szCs w:val="28"/>
        </w:rPr>
        <w:t xml:space="preserve"> – </w:t>
      </w:r>
      <w:r w:rsidRPr="00F0732E">
        <w:rPr>
          <w:b/>
          <w:sz w:val="28"/>
          <w:szCs w:val="28"/>
        </w:rPr>
        <w:t>2014 pre vybrané slovenské verejné vysoké školy</w:t>
      </w:r>
    </w:p>
    <w:p w:rsidR="00B51749" w:rsidRPr="00F0732E" w:rsidRDefault="00B51749" w:rsidP="00B51749">
      <w:pPr>
        <w:rPr>
          <w:sz w:val="28"/>
          <w:szCs w:val="28"/>
        </w:rPr>
      </w:pPr>
    </w:p>
    <w:p w:rsidR="00B51749" w:rsidRPr="00F0732E" w:rsidRDefault="00B51749" w:rsidP="00B51749">
      <w:pPr>
        <w:jc w:val="center"/>
        <w:rPr>
          <w:sz w:val="28"/>
          <w:szCs w:val="28"/>
        </w:rPr>
      </w:pPr>
      <w:r>
        <w:rPr>
          <w:noProof/>
          <w:sz w:val="28"/>
          <w:szCs w:val="28"/>
          <w:lang w:eastAsia="sk-SK"/>
        </w:rPr>
        <w:drawing>
          <wp:inline distT="0" distB="0" distL="0" distR="0">
            <wp:extent cx="4400550" cy="2400300"/>
            <wp:effectExtent l="0" t="0" r="0"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 xml:space="preserve">Nasledovný </w:t>
      </w:r>
      <w:r w:rsidR="003D2012">
        <w:rPr>
          <w:sz w:val="28"/>
          <w:szCs w:val="28"/>
        </w:rPr>
        <w:t>G</w:t>
      </w:r>
      <w:r w:rsidRPr="00F0732E">
        <w:rPr>
          <w:sz w:val="28"/>
          <w:szCs w:val="28"/>
        </w:rPr>
        <w:t>raf 5.20 vyjadruje percentuálne zastúpenie publikácií autorov zo Slovenskej technickej univerzity, ktorí publikovali v rokoch 2011</w:t>
      </w:r>
      <w:r w:rsidR="001E4CCF">
        <w:rPr>
          <w:sz w:val="28"/>
          <w:szCs w:val="28"/>
        </w:rPr>
        <w:t xml:space="preserve"> – </w:t>
      </w:r>
      <w:r w:rsidRPr="00F0732E">
        <w:rPr>
          <w:sz w:val="28"/>
          <w:szCs w:val="28"/>
        </w:rPr>
        <w:t>2014 v časopisoch registrovaných v databáze SCOPUS podľa jednotlivých vedných odborov.</w:t>
      </w:r>
    </w:p>
    <w:p w:rsidR="00B51749" w:rsidRPr="00F0732E" w:rsidRDefault="00B51749" w:rsidP="00B51749">
      <w:pPr>
        <w:jc w:val="center"/>
        <w:rPr>
          <w:b/>
          <w:sz w:val="28"/>
          <w:szCs w:val="28"/>
        </w:rPr>
      </w:pPr>
    </w:p>
    <w:p w:rsidR="00B51749" w:rsidRPr="00F0732E" w:rsidRDefault="00B51749" w:rsidP="00B51749">
      <w:pPr>
        <w:jc w:val="left"/>
        <w:rPr>
          <w:b/>
          <w:sz w:val="28"/>
          <w:szCs w:val="28"/>
        </w:rPr>
      </w:pPr>
      <w:r w:rsidRPr="00F0732E">
        <w:rPr>
          <w:b/>
          <w:sz w:val="28"/>
          <w:szCs w:val="28"/>
        </w:rPr>
        <w:t>Graf 5.20: Podiel jednotlivých vedných odborov na publikačných výstupoch pracovníkov STU v rokoch 2011</w:t>
      </w:r>
      <w:r w:rsidR="001E4CCF">
        <w:rPr>
          <w:b/>
          <w:sz w:val="28"/>
          <w:szCs w:val="28"/>
        </w:rPr>
        <w:t xml:space="preserve"> – </w:t>
      </w:r>
      <w:r w:rsidRPr="00F0732E">
        <w:rPr>
          <w:b/>
          <w:sz w:val="28"/>
          <w:szCs w:val="28"/>
        </w:rPr>
        <w:t>2014</w:t>
      </w:r>
    </w:p>
    <w:p w:rsidR="00B51749" w:rsidRPr="00F0732E" w:rsidRDefault="00B51749" w:rsidP="00B51749">
      <w:pPr>
        <w:rPr>
          <w:sz w:val="28"/>
          <w:szCs w:val="28"/>
        </w:rPr>
      </w:pPr>
    </w:p>
    <w:p w:rsidR="00B51749" w:rsidRPr="00F0732E" w:rsidRDefault="00B51749" w:rsidP="00B51749">
      <w:pPr>
        <w:jc w:val="center"/>
        <w:rPr>
          <w:b/>
          <w:sz w:val="28"/>
          <w:szCs w:val="28"/>
        </w:rPr>
      </w:pPr>
      <w:r>
        <w:rPr>
          <w:noProof/>
          <w:sz w:val="28"/>
          <w:szCs w:val="28"/>
          <w:lang w:eastAsia="sk-SK"/>
        </w:rPr>
        <w:drawing>
          <wp:inline distT="0" distB="0" distL="0" distR="0">
            <wp:extent cx="4572000" cy="2743200"/>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51749" w:rsidRPr="00F0732E" w:rsidRDefault="00B51749" w:rsidP="00B51749">
      <w:pPr>
        <w:jc w:val="center"/>
        <w:rPr>
          <w:b/>
          <w:sz w:val="28"/>
          <w:szCs w:val="28"/>
        </w:rPr>
      </w:pPr>
    </w:p>
    <w:p w:rsidR="00B51749" w:rsidRPr="00F0732E" w:rsidRDefault="00B51749" w:rsidP="00B51749">
      <w:pPr>
        <w:jc w:val="center"/>
        <w:rPr>
          <w:b/>
          <w:sz w:val="28"/>
          <w:szCs w:val="28"/>
        </w:rPr>
      </w:pPr>
    </w:p>
    <w:p w:rsidR="00B51749" w:rsidRPr="00F0732E" w:rsidRDefault="00B51749" w:rsidP="00B51749">
      <w:pPr>
        <w:rPr>
          <w:sz w:val="28"/>
          <w:szCs w:val="28"/>
        </w:rPr>
      </w:pPr>
      <w:r w:rsidRPr="00F0732E">
        <w:rPr>
          <w:sz w:val="28"/>
          <w:szCs w:val="28"/>
        </w:rPr>
        <w:t xml:space="preserve">Z </w:t>
      </w:r>
      <w:r w:rsidR="003D2012">
        <w:rPr>
          <w:sz w:val="28"/>
          <w:szCs w:val="28"/>
        </w:rPr>
        <w:t>G</w:t>
      </w:r>
      <w:r w:rsidRPr="00F0732E">
        <w:rPr>
          <w:sz w:val="28"/>
          <w:szCs w:val="28"/>
        </w:rPr>
        <w:t>rafu 5.20 je evidentné, že vzhľadom k charakteru našej univer</w:t>
      </w:r>
      <w:r w:rsidR="001E4CCF">
        <w:rPr>
          <w:sz w:val="28"/>
          <w:szCs w:val="28"/>
        </w:rPr>
        <w:t>z</w:t>
      </w:r>
      <w:r w:rsidRPr="00F0732E">
        <w:rPr>
          <w:sz w:val="28"/>
          <w:szCs w:val="28"/>
        </w:rPr>
        <w:t>ity ako technickej univerzity</w:t>
      </w:r>
      <w:r w:rsidR="001E4CCF">
        <w:rPr>
          <w:sz w:val="28"/>
          <w:szCs w:val="28"/>
        </w:rPr>
        <w:t>,</w:t>
      </w:r>
      <w:r w:rsidRPr="00F0732E">
        <w:rPr>
          <w:sz w:val="28"/>
          <w:szCs w:val="28"/>
        </w:rPr>
        <w:t xml:space="preserve"> j</w:t>
      </w:r>
      <w:r w:rsidR="001E4CCF">
        <w:rPr>
          <w:sz w:val="28"/>
          <w:szCs w:val="28"/>
        </w:rPr>
        <w:t>e</w:t>
      </w:r>
      <w:r w:rsidRPr="00F0732E">
        <w:rPr>
          <w:sz w:val="28"/>
          <w:szCs w:val="28"/>
        </w:rPr>
        <w:t xml:space="preserve"> ťažisko publikačnej aktivity v inžinierskych </w:t>
      </w:r>
      <w:r w:rsidRPr="00F0732E">
        <w:rPr>
          <w:sz w:val="28"/>
          <w:szCs w:val="28"/>
        </w:rPr>
        <w:lastRenderedPageBreak/>
        <w:t xml:space="preserve">odboroch, materiálových vedách a v počítačových vedách. Významné miesto majú tiež prírodovedne orientované výstupy v chémii, matematike a fyzike. </w:t>
      </w:r>
    </w:p>
    <w:p w:rsidR="001C193D" w:rsidRPr="00F0732E" w:rsidRDefault="001C193D" w:rsidP="001C193D">
      <w:pPr>
        <w:ind w:firstLine="720"/>
        <w:rPr>
          <w:sz w:val="28"/>
          <w:szCs w:val="28"/>
        </w:rPr>
      </w:pPr>
      <w:r w:rsidRPr="00F0732E">
        <w:rPr>
          <w:sz w:val="28"/>
          <w:szCs w:val="28"/>
        </w:rPr>
        <w:t xml:space="preserve">V </w:t>
      </w:r>
      <w:r w:rsidR="003D2012">
        <w:rPr>
          <w:sz w:val="28"/>
          <w:szCs w:val="28"/>
        </w:rPr>
        <w:t>T</w:t>
      </w:r>
      <w:r w:rsidRPr="00F0732E">
        <w:rPr>
          <w:sz w:val="28"/>
          <w:szCs w:val="28"/>
        </w:rPr>
        <w:t>abuľke 5.6 uvádzame všetkých 49 odborných kompetencií, ktorými disponuje STU na základe kocitačnej analýzy soft</w:t>
      </w:r>
      <w:r>
        <w:rPr>
          <w:sz w:val="28"/>
          <w:szCs w:val="28"/>
        </w:rPr>
        <w:t>v</w:t>
      </w:r>
      <w:r w:rsidRPr="00F0732E">
        <w:rPr>
          <w:sz w:val="28"/>
          <w:szCs w:val="28"/>
        </w:rPr>
        <w:t>é</w:t>
      </w:r>
      <w:r>
        <w:rPr>
          <w:sz w:val="28"/>
          <w:szCs w:val="28"/>
        </w:rPr>
        <w:t>rové</w:t>
      </w:r>
      <w:r w:rsidRPr="00F0732E">
        <w:rPr>
          <w:sz w:val="28"/>
          <w:szCs w:val="28"/>
        </w:rPr>
        <w:t>ho produktu SciVal pre rok 2013 z údajov o publikačných a citačných aktivitách za roky 2009</w:t>
      </w:r>
      <w:r>
        <w:rPr>
          <w:sz w:val="28"/>
          <w:szCs w:val="28"/>
        </w:rPr>
        <w:t xml:space="preserve"> – </w:t>
      </w:r>
      <w:r w:rsidRPr="00F0732E">
        <w:rPr>
          <w:sz w:val="28"/>
          <w:szCs w:val="28"/>
        </w:rPr>
        <w:t xml:space="preserve">2013, s uvedením participujúcich autorov a kľúčových slov danej kompetencie. V uvedenej tabuľke </w:t>
      </w:r>
      <w:r>
        <w:rPr>
          <w:sz w:val="28"/>
          <w:szCs w:val="28"/>
        </w:rPr>
        <w:t>sú uvedené počty publikácií</w:t>
      </w:r>
      <w:r w:rsidRPr="00F0732E">
        <w:rPr>
          <w:sz w:val="28"/>
          <w:szCs w:val="28"/>
        </w:rPr>
        <w:t xml:space="preserve"> v danej kompetencii od autorov z STU, celkový počet p</w:t>
      </w:r>
      <w:r>
        <w:rPr>
          <w:sz w:val="28"/>
          <w:szCs w:val="28"/>
        </w:rPr>
        <w:t>ublikácií</w:t>
      </w:r>
      <w:r w:rsidRPr="00F0732E">
        <w:rPr>
          <w:sz w:val="28"/>
          <w:szCs w:val="28"/>
        </w:rPr>
        <w:t xml:space="preserve"> </w:t>
      </w:r>
      <w:r>
        <w:rPr>
          <w:sz w:val="28"/>
          <w:szCs w:val="28"/>
        </w:rPr>
        <w:t xml:space="preserve">v </w:t>
      </w:r>
      <w:r w:rsidRPr="00F0732E">
        <w:rPr>
          <w:sz w:val="28"/>
          <w:szCs w:val="28"/>
        </w:rPr>
        <w:t>danej kompetenci</w:t>
      </w:r>
      <w:r>
        <w:rPr>
          <w:sz w:val="28"/>
          <w:szCs w:val="28"/>
        </w:rPr>
        <w:t>i</w:t>
      </w:r>
      <w:r w:rsidRPr="00F0732E">
        <w:rPr>
          <w:sz w:val="28"/>
          <w:szCs w:val="28"/>
        </w:rPr>
        <w:t xml:space="preserve"> v celom svete, percentuálne vyjadrenie počtu publikácií z STU v danej kompetencii v r</w:t>
      </w:r>
      <w:r>
        <w:rPr>
          <w:sz w:val="28"/>
          <w:szCs w:val="28"/>
        </w:rPr>
        <w:t>á</w:t>
      </w:r>
      <w:r w:rsidRPr="00F0732E">
        <w:rPr>
          <w:sz w:val="28"/>
          <w:szCs w:val="28"/>
        </w:rPr>
        <w:t>mci sveta, počet citácií v</w:t>
      </w:r>
      <w:r>
        <w:rPr>
          <w:sz w:val="28"/>
          <w:szCs w:val="28"/>
        </w:rPr>
        <w:t xml:space="preserve"> kompetencii od autorov z STU a počet citácii v danej kompetencii v rá</w:t>
      </w:r>
      <w:r w:rsidRPr="00F0732E">
        <w:rPr>
          <w:sz w:val="28"/>
          <w:szCs w:val="28"/>
        </w:rPr>
        <w:t>mci celého sveta. V poslednom stĺpci zelenými a červenými š</w:t>
      </w:r>
      <w:r>
        <w:rPr>
          <w:sz w:val="28"/>
          <w:szCs w:val="28"/>
        </w:rPr>
        <w:t>í</w:t>
      </w:r>
      <w:r w:rsidRPr="00F0732E">
        <w:rPr>
          <w:sz w:val="28"/>
          <w:szCs w:val="28"/>
        </w:rPr>
        <w:t>pkami sú vyznačené medziročné trendy v aktivitách v danej kompetencii (červená predstavuje pokles, zelená nárast). a</w:t>
      </w:r>
      <w:r>
        <w:rPr>
          <w:sz w:val="28"/>
          <w:szCs w:val="28"/>
        </w:rPr>
        <w:t xml:space="preserve"> v </w:t>
      </w:r>
      <w:r w:rsidRPr="00F0732E">
        <w:rPr>
          <w:sz w:val="28"/>
          <w:szCs w:val="28"/>
        </w:rPr>
        <w:t>počt</w:t>
      </w:r>
      <w:r>
        <w:rPr>
          <w:sz w:val="28"/>
          <w:szCs w:val="28"/>
        </w:rPr>
        <w:t>e</w:t>
      </w:r>
      <w:r w:rsidRPr="00F0732E">
        <w:rPr>
          <w:sz w:val="28"/>
          <w:szCs w:val="28"/>
        </w:rPr>
        <w:t xml:space="preserve"> publikácií a citácií v kompetencii podľa publikačných výsledkov v roku 2013. Jednotlivé kompetencie sú klasifikované ako výrazné kompetencie (DC) a nové, začínajúce kompetencie (EC).</w:t>
      </w:r>
    </w:p>
    <w:p w:rsidR="00B51749" w:rsidRPr="00F0732E" w:rsidRDefault="00B51749" w:rsidP="00B51749">
      <w:pPr>
        <w:rPr>
          <w:b/>
          <w:sz w:val="28"/>
          <w:szCs w:val="28"/>
        </w:rPr>
      </w:pPr>
    </w:p>
    <w:p w:rsidR="00B51749" w:rsidRPr="00F0732E" w:rsidRDefault="00B51749" w:rsidP="00B51749">
      <w:pPr>
        <w:rPr>
          <w:b/>
          <w:sz w:val="28"/>
          <w:szCs w:val="28"/>
        </w:rPr>
        <w:sectPr w:rsidR="00B51749" w:rsidRPr="00F0732E" w:rsidSect="00B51749">
          <w:footerReference w:type="default" r:id="rId58"/>
          <w:pgSz w:w="11900" w:h="16840"/>
          <w:pgMar w:top="1417" w:right="1417" w:bottom="1417" w:left="1417" w:header="708" w:footer="708" w:gutter="0"/>
          <w:cols w:space="708"/>
          <w:docGrid w:linePitch="360"/>
        </w:sectPr>
      </w:pPr>
    </w:p>
    <w:p w:rsidR="00B51749" w:rsidRPr="00F0732E" w:rsidRDefault="00B51749" w:rsidP="00B51749">
      <w:pPr>
        <w:rPr>
          <w:b/>
          <w:sz w:val="28"/>
          <w:szCs w:val="28"/>
        </w:rPr>
      </w:pPr>
      <w:r w:rsidRPr="00F0732E">
        <w:rPr>
          <w:b/>
          <w:sz w:val="28"/>
          <w:szCs w:val="28"/>
        </w:rPr>
        <w:lastRenderedPageBreak/>
        <w:t>Tabuľka 5.6. Kompetencie STU podľa analýzy SciVal.</w:t>
      </w:r>
    </w:p>
    <w:p w:rsidR="00B51749" w:rsidRPr="00F0732E" w:rsidRDefault="00B51749" w:rsidP="00B51749">
      <w:pPr>
        <w:rPr>
          <w:b/>
          <w:sz w:val="28"/>
          <w:szCs w:val="28"/>
        </w:rPr>
      </w:pPr>
    </w:p>
    <w:tbl>
      <w:tblPr>
        <w:tblW w:w="14639" w:type="dxa"/>
        <w:tblInd w:w="-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45"/>
        <w:gridCol w:w="3341"/>
        <w:gridCol w:w="3438"/>
        <w:gridCol w:w="1906"/>
        <w:gridCol w:w="1513"/>
        <w:gridCol w:w="1663"/>
        <w:gridCol w:w="933"/>
      </w:tblGrid>
      <w:tr w:rsidR="008F3100" w:rsidRPr="00F0732E" w:rsidTr="008F3100">
        <w:trPr>
          <w:trHeight w:val="288"/>
        </w:trPr>
        <w:tc>
          <w:tcPr>
            <w:tcW w:w="1803"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Kompetencia</w:t>
            </w:r>
          </w:p>
        </w:tc>
        <w:tc>
          <w:tcPr>
            <w:tcW w:w="3341"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Autori (STU)</w:t>
            </w:r>
          </w:p>
        </w:tc>
        <w:tc>
          <w:tcPr>
            <w:tcW w:w="3438" w:type="dxa"/>
            <w:shd w:val="clear" w:color="auto" w:fill="auto"/>
            <w:noWrap/>
            <w:vAlign w:val="bottom"/>
            <w:hideMark/>
          </w:tcPr>
          <w:p w:rsidR="00B51749" w:rsidRPr="00F0732E" w:rsidRDefault="00B51749" w:rsidP="008F3100">
            <w:pPr>
              <w:jc w:val="center"/>
              <w:rPr>
                <w:rFonts w:eastAsia="Times New Roman"/>
                <w:b/>
                <w:color w:val="000000"/>
                <w:sz w:val="28"/>
                <w:szCs w:val="28"/>
                <w:lang w:eastAsia="sk-SK"/>
              </w:rPr>
            </w:pPr>
            <w:r w:rsidRPr="00F0732E">
              <w:rPr>
                <w:rFonts w:eastAsia="Times New Roman"/>
                <w:b/>
                <w:color w:val="000000"/>
                <w:sz w:val="28"/>
                <w:szCs w:val="28"/>
                <w:lang w:eastAsia="sk-SK"/>
              </w:rPr>
              <w:t>Kľúčové slová</w:t>
            </w:r>
          </w:p>
        </w:tc>
        <w:tc>
          <w:tcPr>
            <w:tcW w:w="1906" w:type="dxa"/>
            <w:shd w:val="clear" w:color="auto" w:fill="auto"/>
            <w:noWrap/>
            <w:vAlign w:val="bottom"/>
            <w:hideMark/>
          </w:tcPr>
          <w:p w:rsidR="008F3100" w:rsidRDefault="00B51749" w:rsidP="008F3100">
            <w:pPr>
              <w:jc w:val="center"/>
              <w:rPr>
                <w:rFonts w:eastAsia="Times New Roman"/>
                <w:b/>
                <w:color w:val="000000"/>
                <w:sz w:val="28"/>
                <w:szCs w:val="28"/>
                <w:lang w:eastAsia="sk-SK"/>
              </w:rPr>
            </w:pPr>
            <w:r w:rsidRPr="00F0732E">
              <w:rPr>
                <w:rFonts w:eastAsia="Times New Roman"/>
                <w:b/>
                <w:color w:val="000000"/>
                <w:sz w:val="28"/>
                <w:szCs w:val="28"/>
                <w:lang w:eastAsia="sk-SK"/>
              </w:rPr>
              <w:t>Publ</w:t>
            </w:r>
            <w:r w:rsidR="008F3100">
              <w:rPr>
                <w:rFonts w:eastAsia="Times New Roman"/>
                <w:b/>
                <w:color w:val="000000"/>
                <w:sz w:val="28"/>
                <w:szCs w:val="28"/>
                <w:lang w:eastAsia="sk-SK"/>
              </w:rPr>
              <w:t>ikácie STU</w:t>
            </w:r>
            <w:r w:rsidRPr="00F0732E">
              <w:rPr>
                <w:rFonts w:eastAsia="Times New Roman"/>
                <w:b/>
                <w:color w:val="000000"/>
                <w:sz w:val="28"/>
                <w:szCs w:val="28"/>
                <w:lang w:eastAsia="sk-SK"/>
              </w:rPr>
              <w:t>/</w:t>
            </w:r>
          </w:p>
          <w:p w:rsidR="00B51749" w:rsidRPr="00F0732E" w:rsidRDefault="00B51749" w:rsidP="008F3100">
            <w:pPr>
              <w:jc w:val="center"/>
              <w:rPr>
                <w:rFonts w:eastAsia="Times New Roman"/>
                <w:b/>
                <w:color w:val="000000"/>
                <w:sz w:val="28"/>
                <w:szCs w:val="28"/>
                <w:lang w:eastAsia="sk-SK"/>
              </w:rPr>
            </w:pPr>
            <w:r w:rsidRPr="00F0732E">
              <w:rPr>
                <w:rFonts w:eastAsia="Times New Roman"/>
                <w:b/>
                <w:color w:val="000000"/>
                <w:sz w:val="28"/>
                <w:szCs w:val="28"/>
                <w:lang w:eastAsia="sk-SK"/>
              </w:rPr>
              <w:t>Publ</w:t>
            </w:r>
            <w:r w:rsidR="008F3100">
              <w:rPr>
                <w:rFonts w:eastAsia="Times New Roman"/>
                <w:b/>
                <w:color w:val="000000"/>
                <w:sz w:val="28"/>
                <w:szCs w:val="28"/>
                <w:lang w:eastAsia="sk-SK"/>
              </w:rPr>
              <w:t>ikácie vo svete</w:t>
            </w:r>
          </w:p>
        </w:tc>
        <w:tc>
          <w:tcPr>
            <w:tcW w:w="1611" w:type="dxa"/>
          </w:tcPr>
          <w:p w:rsidR="008F3100"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w:t>
            </w:r>
          </w:p>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Publ</w:t>
            </w:r>
            <w:r w:rsidR="008F3100">
              <w:rPr>
                <w:rFonts w:eastAsia="Times New Roman"/>
                <w:b/>
                <w:color w:val="000000"/>
                <w:sz w:val="28"/>
                <w:szCs w:val="28"/>
                <w:lang w:eastAsia="sk-SK"/>
              </w:rPr>
              <w:t>ikácii z STU</w:t>
            </w:r>
          </w:p>
        </w:tc>
        <w:tc>
          <w:tcPr>
            <w:tcW w:w="1626"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Cit</w:t>
            </w:r>
            <w:r w:rsidR="008F3100">
              <w:rPr>
                <w:rFonts w:eastAsia="Times New Roman"/>
                <w:b/>
                <w:color w:val="000000"/>
                <w:sz w:val="28"/>
                <w:szCs w:val="28"/>
                <w:lang w:eastAsia="sk-SK"/>
              </w:rPr>
              <w:t>ácie STU</w:t>
            </w:r>
            <w:r w:rsidRPr="00F0732E">
              <w:rPr>
                <w:rFonts w:eastAsia="Times New Roman"/>
                <w:b/>
                <w:color w:val="000000"/>
                <w:sz w:val="28"/>
                <w:szCs w:val="28"/>
                <w:lang w:eastAsia="sk-SK"/>
              </w:rPr>
              <w:t>/Cit</w:t>
            </w:r>
            <w:r w:rsidR="008F3100">
              <w:rPr>
                <w:rFonts w:eastAsia="Times New Roman"/>
                <w:b/>
                <w:color w:val="000000"/>
                <w:sz w:val="28"/>
                <w:szCs w:val="28"/>
                <w:lang w:eastAsia="sk-SK"/>
              </w:rPr>
              <w:t>ácie vo svete</w:t>
            </w:r>
          </w:p>
        </w:tc>
        <w:tc>
          <w:tcPr>
            <w:tcW w:w="914" w:type="dxa"/>
          </w:tcPr>
          <w:p w:rsidR="008F3100" w:rsidRDefault="008F3100" w:rsidP="00447572">
            <w:pPr>
              <w:jc w:val="center"/>
              <w:rPr>
                <w:rFonts w:eastAsia="Times New Roman"/>
                <w:b/>
                <w:color w:val="000000"/>
                <w:sz w:val="28"/>
                <w:szCs w:val="28"/>
                <w:lang w:eastAsia="sk-SK"/>
              </w:rPr>
            </w:pPr>
          </w:p>
          <w:p w:rsidR="008F3100" w:rsidRDefault="008F3100" w:rsidP="00447572">
            <w:pPr>
              <w:jc w:val="center"/>
              <w:rPr>
                <w:rFonts w:eastAsia="Times New Roman"/>
                <w:b/>
                <w:color w:val="000000"/>
                <w:sz w:val="28"/>
                <w:szCs w:val="28"/>
                <w:lang w:eastAsia="sk-SK"/>
              </w:rPr>
            </w:pPr>
          </w:p>
          <w:p w:rsidR="008F3100" w:rsidRDefault="008F3100" w:rsidP="00447572">
            <w:pPr>
              <w:jc w:val="center"/>
              <w:rPr>
                <w:rFonts w:eastAsia="Times New Roman"/>
                <w:b/>
                <w:color w:val="000000"/>
                <w:sz w:val="28"/>
                <w:szCs w:val="28"/>
                <w:lang w:eastAsia="sk-SK"/>
              </w:rPr>
            </w:pPr>
          </w:p>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Trend</w:t>
            </w:r>
          </w:p>
        </w:tc>
      </w:tr>
      <w:tr w:rsidR="008F3100" w:rsidRPr="00F0732E" w:rsidTr="008F3100">
        <w:trPr>
          <w:trHeight w:val="288"/>
        </w:trPr>
        <w:tc>
          <w:tcPr>
            <w:tcW w:w="1803"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DC#1</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Mesiar R., Kalina M., Koles</w:t>
            </w:r>
            <w:r w:rsidR="002D3B86">
              <w:rPr>
                <w:rFonts w:eastAsia="Times New Roman"/>
                <w:color w:val="000000"/>
                <w:sz w:val="28"/>
                <w:szCs w:val="28"/>
                <w:lang w:eastAsia="sk-SK"/>
              </w:rPr>
              <w:t>á</w:t>
            </w:r>
            <w:r w:rsidRPr="00F0732E">
              <w:rPr>
                <w:rFonts w:eastAsia="Times New Roman"/>
                <w:color w:val="000000"/>
                <w:sz w:val="28"/>
                <w:szCs w:val="28"/>
                <w:lang w:eastAsia="sk-SK"/>
              </w:rPr>
              <w:t>rov</w:t>
            </w:r>
            <w:r w:rsidR="002D3B86">
              <w:rPr>
                <w:rFonts w:eastAsia="Times New Roman"/>
                <w:color w:val="000000"/>
                <w:sz w:val="28"/>
                <w:szCs w:val="28"/>
                <w:lang w:eastAsia="sk-SK"/>
              </w:rPr>
              <w:t>á</w:t>
            </w:r>
            <w:r w:rsidRPr="00F0732E">
              <w:rPr>
                <w:rFonts w:eastAsia="Times New Roman"/>
                <w:color w:val="000000"/>
                <w:sz w:val="28"/>
                <w:szCs w:val="28"/>
                <w:lang w:eastAsia="sk-SK"/>
              </w:rPr>
              <w:t xml:space="preserve"> A.</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Fuzzy sets; Agglomeration;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145/2060</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646/6576</w:t>
            </w:r>
          </w:p>
        </w:tc>
        <w:tc>
          <w:tcPr>
            <w:tcW w:w="914"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Veselý. V., Fikar M., Rosinová D.</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Model predictive control;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74/2129</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79/5618</w:t>
            </w:r>
          </w:p>
        </w:tc>
        <w:tc>
          <w:tcPr>
            <w:tcW w:w="914"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EC#3</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Chromý E., Halas M., Kovac A.</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Internet; Internet protocols;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30/2124</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45/5008</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DC#4</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Bielikov</w:t>
            </w:r>
            <w:r w:rsidR="002D3B86">
              <w:rPr>
                <w:rFonts w:eastAsia="Times New Roman"/>
                <w:color w:val="000000"/>
                <w:sz w:val="28"/>
                <w:szCs w:val="28"/>
                <w:lang w:eastAsia="sk-SK"/>
              </w:rPr>
              <w:t>á</w:t>
            </w:r>
            <w:r w:rsidRPr="00F0732E">
              <w:rPr>
                <w:rFonts w:eastAsia="Times New Roman"/>
                <w:color w:val="000000"/>
                <w:sz w:val="28"/>
                <w:szCs w:val="28"/>
                <w:lang w:eastAsia="sk-SK"/>
              </w:rPr>
              <w:t xml:space="preserve"> M., Šimko M., N</w:t>
            </w:r>
            <w:r w:rsidR="002D3B86">
              <w:rPr>
                <w:rFonts w:eastAsia="Times New Roman"/>
                <w:color w:val="000000"/>
                <w:sz w:val="28"/>
                <w:szCs w:val="28"/>
                <w:lang w:eastAsia="sk-SK"/>
              </w:rPr>
              <w:t>á</w:t>
            </w:r>
            <w:r w:rsidRPr="00F0732E">
              <w:rPr>
                <w:rFonts w:eastAsia="Times New Roman"/>
                <w:color w:val="000000"/>
                <w:sz w:val="28"/>
                <w:szCs w:val="28"/>
                <w:lang w:eastAsia="sk-SK"/>
              </w:rPr>
              <w:t>vrat P.</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Cloning; Semantics; Tools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42/1499</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48/4458</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EC#5</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Miglierini M.B., Slugeň V., Dekan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Alloys; Magnetic properties;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30/1253</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2,4</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273183</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DC#6</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Huba M., Žáková K., Ťapák P.</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Controllers; Control; Design</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55/1227</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4,5</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41/2596</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DC#7</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Vrábel V.T., Švorc L.U., Marchalín S.</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rings; Rings (components);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34/1212</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53/6344</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EC#8</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Cvengroš J., Kleinová A., Cvengrošová Z.</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Biodiesel; Esters; Fatty acids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8/851</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13/6313</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EC#9</w:t>
            </w:r>
          </w:p>
        </w:tc>
        <w:tc>
          <w:tcPr>
            <w:tcW w:w="3341" w:type="dxa"/>
            <w:shd w:val="clear" w:color="auto" w:fill="auto"/>
            <w:noWrap/>
            <w:vAlign w:val="bottom"/>
            <w:hideMark/>
          </w:tcPr>
          <w:p w:rsidR="00B51749" w:rsidRPr="00F0732E" w:rsidRDefault="00B51749" w:rsidP="0045282C">
            <w:pPr>
              <w:rPr>
                <w:rFonts w:eastAsia="Times New Roman"/>
                <w:color w:val="000000"/>
                <w:sz w:val="28"/>
                <w:szCs w:val="28"/>
                <w:lang w:eastAsia="sk-SK"/>
              </w:rPr>
            </w:pPr>
            <w:r w:rsidRPr="00F0732E">
              <w:rPr>
                <w:rFonts w:eastAsia="Times New Roman"/>
                <w:color w:val="000000"/>
                <w:sz w:val="28"/>
                <w:szCs w:val="28"/>
                <w:lang w:eastAsia="sk-SK"/>
              </w:rPr>
              <w:t>Oravec M., Pavlovi</w:t>
            </w:r>
            <w:r w:rsidR="0045282C">
              <w:rPr>
                <w:rFonts w:eastAsia="Times New Roman"/>
                <w:color w:val="000000"/>
                <w:sz w:val="28"/>
                <w:szCs w:val="28"/>
                <w:lang w:eastAsia="sk-SK"/>
              </w:rPr>
              <w:t>č</w:t>
            </w:r>
            <w:r w:rsidRPr="00F0732E">
              <w:rPr>
                <w:rFonts w:eastAsia="Times New Roman"/>
                <w:color w:val="000000"/>
                <w:sz w:val="28"/>
                <w:szCs w:val="28"/>
                <w:lang w:eastAsia="sk-SK"/>
              </w:rPr>
              <w:t>ová J., Ban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Face recognition; Databases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7/867</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0,8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2/2666</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DC#10</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Šchlosser S., Blahušiak M., Marták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Mass transfer; Proteins;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25/844</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96/5524</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DC#11</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Chudá D., N</w:t>
            </w:r>
            <w:r w:rsidR="002D3B86">
              <w:rPr>
                <w:rFonts w:eastAsia="Times New Roman"/>
                <w:color w:val="000000"/>
                <w:sz w:val="28"/>
                <w:szCs w:val="28"/>
                <w:lang w:eastAsia="sk-SK"/>
              </w:rPr>
              <w:t>á</w:t>
            </w:r>
            <w:r w:rsidRPr="00F0732E">
              <w:rPr>
                <w:rFonts w:eastAsia="Times New Roman"/>
                <w:color w:val="000000"/>
                <w:sz w:val="28"/>
                <w:szCs w:val="28"/>
                <w:lang w:eastAsia="sk-SK"/>
              </w:rPr>
              <w:t>vrat P., Čičák P.</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Students; Teaching; Tools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6/598</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14/1157</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lastRenderedPageBreak/>
              <w:t>EC#12</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Čistý M., Bajtek Z., Bezák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Water distribution systems;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9/552</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23/1775</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DC#13</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Bielikov</w:t>
            </w:r>
            <w:r w:rsidR="002D3B86">
              <w:rPr>
                <w:rFonts w:eastAsia="Times New Roman"/>
                <w:color w:val="000000"/>
                <w:sz w:val="28"/>
                <w:szCs w:val="28"/>
                <w:lang w:eastAsia="sk-SK"/>
              </w:rPr>
              <w:t>á</w:t>
            </w:r>
            <w:r w:rsidRPr="00F0732E">
              <w:rPr>
                <w:rFonts w:eastAsia="Times New Roman"/>
                <w:color w:val="000000"/>
                <w:sz w:val="28"/>
                <w:szCs w:val="28"/>
                <w:lang w:eastAsia="sk-SK"/>
              </w:rPr>
              <w:t xml:space="preserve"> M., Kompan M., Zeleník D.</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Recommender systems; Websites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9/793</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11/2010</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EC#14</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Krištofič M., Ujhelyiová́ A., Ryba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Nanocomposites; Clay minerals;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6/656</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0,9</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5/3347</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DC#15</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Boča R., Dlháň L., Moncoľ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spin; Ligands; Magnetic susceptibility</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29/721</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176/6244</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DC#16</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Bielikov</w:t>
            </w:r>
            <w:r w:rsidR="002D3B86">
              <w:rPr>
                <w:rFonts w:eastAsia="Times New Roman"/>
                <w:color w:val="000000"/>
                <w:sz w:val="28"/>
                <w:szCs w:val="28"/>
                <w:lang w:eastAsia="sk-SK"/>
              </w:rPr>
              <w:t>á</w:t>
            </w:r>
            <w:r w:rsidRPr="00F0732E">
              <w:rPr>
                <w:rFonts w:eastAsia="Times New Roman"/>
                <w:color w:val="000000"/>
                <w:sz w:val="28"/>
                <w:szCs w:val="28"/>
                <w:lang w:eastAsia="sk-SK"/>
              </w:rPr>
              <w:t xml:space="preserve"> M., Bartalo</w:t>
            </w:r>
            <w:r w:rsidR="002D3B86">
              <w:rPr>
                <w:rFonts w:eastAsia="Times New Roman"/>
                <w:color w:val="000000"/>
                <w:sz w:val="28"/>
                <w:szCs w:val="28"/>
                <w:lang w:eastAsia="sk-SK"/>
              </w:rPr>
              <w:t>š</w:t>
            </w:r>
            <w:r w:rsidRPr="00F0732E">
              <w:rPr>
                <w:rFonts w:eastAsia="Times New Roman"/>
                <w:color w:val="000000"/>
                <w:sz w:val="28"/>
                <w:szCs w:val="28"/>
                <w:lang w:eastAsia="sk-SK"/>
              </w:rPr>
              <w:t xml:space="preserve"> P., Lehocki F.</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Web services; Quality of service;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8/727</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36/2036</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EC#17</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Gaál L., Szolgay J.A.N., Kohnová S.</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frequency analysis; flood; Floods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14/501</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73/1820</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EC#18</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Antušek A., Biskupič S., Urban M.</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computation; Calculations; NMR</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16/631</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87/4787</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EC#19</w:t>
            </w:r>
          </w:p>
        </w:tc>
        <w:tc>
          <w:tcPr>
            <w:tcW w:w="3341" w:type="dxa"/>
            <w:shd w:val="clear" w:color="auto" w:fill="auto"/>
            <w:noWrap/>
            <w:vAlign w:val="bottom"/>
            <w:hideMark/>
          </w:tcPr>
          <w:p w:rsidR="00B51749" w:rsidRPr="00F0732E" w:rsidRDefault="00B51749" w:rsidP="002D3B86">
            <w:pPr>
              <w:rPr>
                <w:rFonts w:eastAsia="Times New Roman"/>
                <w:color w:val="000000"/>
                <w:sz w:val="28"/>
                <w:szCs w:val="28"/>
                <w:lang w:eastAsia="sk-SK"/>
              </w:rPr>
            </w:pPr>
            <w:r w:rsidRPr="00F0732E">
              <w:rPr>
                <w:rFonts w:eastAsia="Times New Roman"/>
                <w:color w:val="000000"/>
                <w:sz w:val="28"/>
                <w:szCs w:val="28"/>
                <w:lang w:eastAsia="sk-SK"/>
              </w:rPr>
              <w:t>Bielikov</w:t>
            </w:r>
            <w:r w:rsidR="002D3B86">
              <w:rPr>
                <w:rFonts w:eastAsia="Times New Roman"/>
                <w:color w:val="000000"/>
                <w:sz w:val="28"/>
                <w:szCs w:val="28"/>
                <w:lang w:eastAsia="sk-SK"/>
              </w:rPr>
              <w:t>á</w:t>
            </w:r>
            <w:r w:rsidRPr="00F0732E">
              <w:rPr>
                <w:rFonts w:eastAsia="Times New Roman"/>
                <w:color w:val="000000"/>
                <w:sz w:val="28"/>
                <w:szCs w:val="28"/>
                <w:lang w:eastAsia="sk-SK"/>
              </w:rPr>
              <w:t xml:space="preserve"> M., Šimko M.</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Security of data; Risk assessment;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4/528</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0,8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20/1134</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EC#20</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Kordoš P., Liday J., Vogrinčič P.</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Gallium nitride; Ohmic contacts;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20/603</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3,3</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47/2916</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DC#21</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Kohajdová Z., Jurasová M., Karovičová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dietary fiber; Flour; wheat flour</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3/472</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0,6</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4/2081</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DC#22</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Donoval D., Jakabovič J., Kováč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Thin film transistors; Semiconductors</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16/576</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17/3489</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DC#23</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Jelemenská K., Čičák P., Macko D.</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Students; Design; Hardware</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4/388</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4/692</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DC#24</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Miklovičová E., Škultéty J., Veselý. V.</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Controllers; Control; Model pred. control</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8/392</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6777</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8F3100" w:rsidRPr="00F0732E" w:rsidTr="008F3100">
        <w:trPr>
          <w:trHeight w:val="288"/>
        </w:trPr>
        <w:tc>
          <w:tcPr>
            <w:tcW w:w="1803" w:type="dxa"/>
            <w:shd w:val="clear" w:color="auto" w:fill="auto"/>
            <w:noWrap/>
            <w:hideMark/>
          </w:tcPr>
          <w:p w:rsidR="00B51749" w:rsidRPr="00F0732E" w:rsidRDefault="00B51749" w:rsidP="00447572">
            <w:pPr>
              <w:jc w:val="center"/>
              <w:rPr>
                <w:sz w:val="28"/>
                <w:szCs w:val="28"/>
              </w:rPr>
            </w:pPr>
            <w:r w:rsidRPr="00F0732E">
              <w:rPr>
                <w:rFonts w:eastAsia="Times New Roman"/>
                <w:color w:val="000000"/>
                <w:sz w:val="28"/>
                <w:szCs w:val="28"/>
                <w:lang w:eastAsia="sk-SK"/>
              </w:rPr>
              <w:t>DC#25</w:t>
            </w:r>
          </w:p>
        </w:tc>
        <w:tc>
          <w:tcPr>
            <w:tcW w:w="3341"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Kutiš V., Srnánek R., Kováč J.</w:t>
            </w:r>
          </w:p>
        </w:tc>
        <w:tc>
          <w:tcPr>
            <w:tcW w:w="3438"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 xml:space="preserve">Gallium nitride; </w:t>
            </w:r>
          </w:p>
        </w:tc>
        <w:tc>
          <w:tcPr>
            <w:tcW w:w="190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14/475</w:t>
            </w:r>
          </w:p>
        </w:tc>
        <w:tc>
          <w:tcPr>
            <w:tcW w:w="1611"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2,9</w:t>
            </w:r>
          </w:p>
        </w:tc>
        <w:tc>
          <w:tcPr>
            <w:tcW w:w="162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21/1724</w:t>
            </w:r>
          </w:p>
        </w:tc>
        <w:tc>
          <w:tcPr>
            <w:tcW w:w="914"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bl>
    <w:p w:rsidR="00B51749" w:rsidRPr="00F0732E" w:rsidRDefault="00B51749" w:rsidP="00B51749">
      <w:pPr>
        <w:rPr>
          <w:sz w:val="28"/>
          <w:szCs w:val="28"/>
        </w:rPr>
        <w:sectPr w:rsidR="00B51749" w:rsidRPr="00F0732E" w:rsidSect="00447572">
          <w:pgSz w:w="16840" w:h="11900" w:orient="landscape"/>
          <w:pgMar w:top="1418" w:right="1418" w:bottom="624" w:left="1418" w:header="709" w:footer="709" w:gutter="0"/>
          <w:cols w:space="708"/>
          <w:docGrid w:linePitch="360"/>
        </w:sectPr>
      </w:pP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Tabuľka 5.6. (pokračovanie).</w:t>
      </w:r>
    </w:p>
    <w:tbl>
      <w:tblPr>
        <w:tblW w:w="12756" w:type="dxa"/>
        <w:tblInd w:w="-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45"/>
        <w:gridCol w:w="3581"/>
        <w:gridCol w:w="3685"/>
        <w:gridCol w:w="1733"/>
        <w:gridCol w:w="1005"/>
        <w:gridCol w:w="1276"/>
        <w:gridCol w:w="933"/>
      </w:tblGrid>
      <w:tr w:rsidR="00B51749" w:rsidRPr="00F0732E" w:rsidTr="00447572">
        <w:trPr>
          <w:trHeight w:val="288"/>
        </w:trPr>
        <w:tc>
          <w:tcPr>
            <w:tcW w:w="1237"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Kompetencia</w:t>
            </w:r>
          </w:p>
        </w:tc>
        <w:tc>
          <w:tcPr>
            <w:tcW w:w="3581"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Autori (STU)</w:t>
            </w:r>
          </w:p>
        </w:tc>
        <w:tc>
          <w:tcPr>
            <w:tcW w:w="3685"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Kľúčové slová</w:t>
            </w:r>
          </w:p>
        </w:tc>
        <w:tc>
          <w:tcPr>
            <w:tcW w:w="1134"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Publ/PublW</w:t>
            </w:r>
          </w:p>
        </w:tc>
        <w:tc>
          <w:tcPr>
            <w:tcW w:w="851"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%Publ</w:t>
            </w:r>
          </w:p>
        </w:tc>
        <w:tc>
          <w:tcPr>
            <w:tcW w:w="1276"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Cit/CitW</w:t>
            </w:r>
          </w:p>
        </w:tc>
        <w:tc>
          <w:tcPr>
            <w:tcW w:w="992"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Trend</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EC#26</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Valigura D., Mazúr M., Repická Z.</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Copper; Ligands; Paramagnetic resonance</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21/560</w:t>
            </w:r>
          </w:p>
        </w:tc>
        <w:tc>
          <w:tcPr>
            <w:tcW w:w="851" w:type="dxa"/>
          </w:tcPr>
          <w:p w:rsidR="00B51749" w:rsidRPr="00F0732E" w:rsidRDefault="00B51749" w:rsidP="00447572">
            <w:pPr>
              <w:jc w:val="center"/>
              <w:rPr>
                <w:color w:val="000000"/>
                <w:sz w:val="28"/>
                <w:szCs w:val="28"/>
              </w:rPr>
            </w:pPr>
            <w:r w:rsidRPr="00F0732E">
              <w:rPr>
                <w:color w:val="000000"/>
                <w:sz w:val="28"/>
                <w:szCs w:val="28"/>
              </w:rPr>
              <w:t>3,8</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50/2784</w:t>
            </w:r>
          </w:p>
        </w:tc>
        <w:tc>
          <w:tcPr>
            <w:tcW w:w="992"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EC#27</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Važan P., Jurovatá D., Iringová M.</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Estimation; Algorithms; Power spectral density</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4/328</w:t>
            </w:r>
          </w:p>
        </w:tc>
        <w:tc>
          <w:tcPr>
            <w:tcW w:w="851" w:type="dxa"/>
          </w:tcPr>
          <w:p w:rsidR="00B51749" w:rsidRPr="00F0732E" w:rsidRDefault="00B51749" w:rsidP="00447572">
            <w:pPr>
              <w:jc w:val="center"/>
              <w:rPr>
                <w:color w:val="000000"/>
                <w:sz w:val="28"/>
                <w:szCs w:val="28"/>
              </w:rPr>
            </w:pPr>
            <w:r w:rsidRPr="00F0732E">
              <w:rPr>
                <w:color w:val="000000"/>
                <w:sz w:val="28"/>
                <w:szCs w:val="28"/>
              </w:rPr>
              <w:t>1,2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3/608</w:t>
            </w:r>
          </w:p>
        </w:tc>
        <w:tc>
          <w:tcPr>
            <w:tcW w:w="992" w:type="dxa"/>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EC#28</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Fellner P., Híveš J., Danielik V.</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Aluminum; Halide minerals; Anodes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6/235</w:t>
            </w:r>
          </w:p>
        </w:tc>
        <w:tc>
          <w:tcPr>
            <w:tcW w:w="851" w:type="dxa"/>
          </w:tcPr>
          <w:p w:rsidR="00B51749" w:rsidRPr="00F0732E" w:rsidRDefault="00B51749" w:rsidP="00447572">
            <w:pPr>
              <w:jc w:val="center"/>
              <w:rPr>
                <w:color w:val="000000"/>
                <w:sz w:val="28"/>
                <w:szCs w:val="28"/>
              </w:rPr>
            </w:pPr>
            <w:r w:rsidRPr="00F0732E">
              <w:rPr>
                <w:color w:val="000000"/>
                <w:sz w:val="28"/>
                <w:szCs w:val="28"/>
              </w:rPr>
              <w:t>2,6</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6/463</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EC#29</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Veselý. V., Kozáková A., Rosinová D.</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 xml:space="preserve">Optimization; Model predictive control; </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8/351</w:t>
            </w:r>
          </w:p>
        </w:tc>
        <w:tc>
          <w:tcPr>
            <w:tcW w:w="851" w:type="dxa"/>
          </w:tcPr>
          <w:p w:rsidR="00B51749" w:rsidRPr="00F0732E" w:rsidRDefault="00B51749" w:rsidP="00447572">
            <w:pPr>
              <w:jc w:val="center"/>
              <w:rPr>
                <w:color w:val="000000"/>
                <w:sz w:val="28"/>
                <w:szCs w:val="28"/>
              </w:rPr>
            </w:pPr>
            <w:r w:rsidRPr="00F0732E">
              <w:rPr>
                <w:color w:val="000000"/>
                <w:sz w:val="28"/>
                <w:szCs w:val="28"/>
              </w:rPr>
              <w:t>2,3</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8/956</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EC#30</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Švorc L.U., Rievaj M., Bustin D.L.</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Electrodes; Voltammetry; Glassy carbon</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11/497</w:t>
            </w:r>
          </w:p>
        </w:tc>
        <w:tc>
          <w:tcPr>
            <w:tcW w:w="851" w:type="dxa"/>
          </w:tcPr>
          <w:p w:rsidR="00B51749" w:rsidRPr="00F0732E" w:rsidRDefault="00B51749" w:rsidP="00447572">
            <w:pPr>
              <w:jc w:val="center"/>
              <w:rPr>
                <w:color w:val="000000"/>
                <w:sz w:val="28"/>
                <w:szCs w:val="28"/>
              </w:rPr>
            </w:pPr>
            <w:r w:rsidRPr="00F0732E">
              <w:rPr>
                <w:color w:val="000000"/>
                <w:sz w:val="28"/>
                <w:szCs w:val="28"/>
              </w:rPr>
              <w:t>2,2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34/3813</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EC#31</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Kapec P., Mindek P., Pažitnaj A.</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Visualization; Data visualization; Inf. systems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6/414</w:t>
            </w:r>
          </w:p>
        </w:tc>
        <w:tc>
          <w:tcPr>
            <w:tcW w:w="851" w:type="dxa"/>
          </w:tcPr>
          <w:p w:rsidR="00B51749" w:rsidRPr="00F0732E" w:rsidRDefault="00B51749" w:rsidP="00447572">
            <w:pPr>
              <w:jc w:val="center"/>
              <w:rPr>
                <w:color w:val="000000"/>
                <w:sz w:val="28"/>
                <w:szCs w:val="28"/>
              </w:rPr>
            </w:pPr>
            <w:r w:rsidRPr="00F0732E">
              <w:rPr>
                <w:color w:val="000000"/>
                <w:sz w:val="28"/>
                <w:szCs w:val="28"/>
              </w:rPr>
              <w:t>1.4</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3/896</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EC#32</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Tvarožek V., Novotný I., Shtereva K.S.</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Zinc; Nitrides; Zinc oxide</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8/343</w:t>
            </w:r>
          </w:p>
        </w:tc>
        <w:tc>
          <w:tcPr>
            <w:tcW w:w="851" w:type="dxa"/>
          </w:tcPr>
          <w:p w:rsidR="00B51749" w:rsidRPr="00F0732E" w:rsidRDefault="00B51749" w:rsidP="00447572">
            <w:pPr>
              <w:jc w:val="center"/>
              <w:rPr>
                <w:color w:val="000000"/>
                <w:sz w:val="28"/>
                <w:szCs w:val="28"/>
              </w:rPr>
            </w:pPr>
            <w:r w:rsidRPr="00F0732E">
              <w:rPr>
                <w:color w:val="000000"/>
                <w:sz w:val="28"/>
                <w:szCs w:val="28"/>
              </w:rPr>
              <w:t>2,3</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6/1694</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EC#33</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Balogh T., Medvecký M., Luknárová D.</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Quality of service; Throughput; Scheduling</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5/317</w:t>
            </w:r>
          </w:p>
        </w:tc>
        <w:tc>
          <w:tcPr>
            <w:tcW w:w="851" w:type="dxa"/>
          </w:tcPr>
          <w:p w:rsidR="00B51749" w:rsidRPr="00F0732E" w:rsidRDefault="00B51749" w:rsidP="00447572">
            <w:pPr>
              <w:jc w:val="center"/>
              <w:rPr>
                <w:color w:val="000000"/>
                <w:sz w:val="28"/>
                <w:szCs w:val="28"/>
              </w:rPr>
            </w:pPr>
            <w:r w:rsidRPr="00F0732E">
              <w:rPr>
                <w:color w:val="000000"/>
                <w:sz w:val="28"/>
                <w:szCs w:val="28"/>
              </w:rPr>
              <w:t>1,6</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6/474</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EC#34</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Kotočová M., Olšovský M., Chromý E.</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Quality of service; Bandwidth; Netw.  protocols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8/292</w:t>
            </w:r>
          </w:p>
        </w:tc>
        <w:tc>
          <w:tcPr>
            <w:tcW w:w="851" w:type="dxa"/>
          </w:tcPr>
          <w:p w:rsidR="00B51749" w:rsidRPr="00F0732E" w:rsidRDefault="00B51749" w:rsidP="00447572">
            <w:pPr>
              <w:jc w:val="center"/>
              <w:rPr>
                <w:color w:val="000000"/>
                <w:sz w:val="28"/>
                <w:szCs w:val="28"/>
              </w:rPr>
            </w:pPr>
            <w:r w:rsidRPr="00F0732E">
              <w:rPr>
                <w:color w:val="000000"/>
                <w:sz w:val="28"/>
                <w:szCs w:val="28"/>
              </w:rPr>
              <w:t>2,7</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11/275</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EC#35</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Jablonský M.J., Katuščák S., Kazíková J.</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Cellulose; Aging of materials; Paper</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11/348</w:t>
            </w:r>
          </w:p>
        </w:tc>
        <w:tc>
          <w:tcPr>
            <w:tcW w:w="851" w:type="dxa"/>
          </w:tcPr>
          <w:p w:rsidR="00B51749" w:rsidRPr="00F0732E" w:rsidRDefault="00B51749" w:rsidP="00447572">
            <w:pPr>
              <w:jc w:val="center"/>
              <w:rPr>
                <w:color w:val="000000"/>
                <w:sz w:val="28"/>
                <w:szCs w:val="28"/>
              </w:rPr>
            </w:pPr>
            <w:r w:rsidRPr="00F0732E">
              <w:rPr>
                <w:color w:val="000000"/>
                <w:sz w:val="28"/>
                <w:szCs w:val="28"/>
              </w:rPr>
              <w:t>3,2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34/179</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EC#36</w:t>
            </w:r>
          </w:p>
        </w:tc>
        <w:tc>
          <w:tcPr>
            <w:tcW w:w="3581" w:type="dxa"/>
            <w:shd w:val="clear" w:color="auto" w:fill="auto"/>
            <w:noWrap/>
            <w:vAlign w:val="bottom"/>
          </w:tcPr>
          <w:p w:rsidR="00B51749" w:rsidRPr="00F0732E" w:rsidRDefault="00B51749" w:rsidP="002D3B86">
            <w:pPr>
              <w:jc w:val="left"/>
              <w:rPr>
                <w:rFonts w:eastAsia="Times New Roman"/>
                <w:color w:val="000000"/>
                <w:sz w:val="28"/>
                <w:szCs w:val="28"/>
                <w:lang w:eastAsia="sk-SK"/>
              </w:rPr>
            </w:pPr>
            <w:r w:rsidRPr="00F0732E">
              <w:rPr>
                <w:rFonts w:eastAsia="Times New Roman"/>
                <w:color w:val="000000"/>
                <w:sz w:val="28"/>
                <w:szCs w:val="28"/>
                <w:lang w:eastAsia="sk-SK"/>
              </w:rPr>
              <w:t>Vasičkaninová A., Dvoran J., Kme</w:t>
            </w:r>
            <w:r w:rsidR="002D3B86">
              <w:rPr>
                <w:rFonts w:eastAsia="Times New Roman"/>
                <w:color w:val="000000"/>
                <w:sz w:val="28"/>
                <w:szCs w:val="28"/>
                <w:lang w:eastAsia="sk-SK"/>
              </w:rPr>
              <w:t>ť</w:t>
            </w:r>
            <w:r w:rsidRPr="00F0732E">
              <w:rPr>
                <w:rFonts w:eastAsia="Times New Roman"/>
                <w:color w:val="000000"/>
                <w:sz w:val="28"/>
                <w:szCs w:val="28"/>
                <w:lang w:eastAsia="sk-SK"/>
              </w:rPr>
              <w:t>ová J.</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Fuzzy inference; Fuzzy systems; Models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7/320</w:t>
            </w:r>
          </w:p>
        </w:tc>
        <w:tc>
          <w:tcPr>
            <w:tcW w:w="851" w:type="dxa"/>
          </w:tcPr>
          <w:p w:rsidR="00B51749" w:rsidRPr="00F0732E" w:rsidRDefault="00B51749" w:rsidP="00447572">
            <w:pPr>
              <w:jc w:val="center"/>
              <w:rPr>
                <w:color w:val="000000"/>
                <w:sz w:val="28"/>
                <w:szCs w:val="28"/>
              </w:rPr>
            </w:pPr>
            <w:r w:rsidRPr="00F0732E">
              <w:rPr>
                <w:color w:val="000000"/>
                <w:sz w:val="28"/>
                <w:szCs w:val="28"/>
              </w:rPr>
              <w:t>2,2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27/623</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w:t>
            </w: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EC#37</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Mikóczy E., Baroňák I., Ferenczyová I.</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Hydraulics; Hybrid vehicles; Fuel economy</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5/204</w:t>
            </w:r>
          </w:p>
        </w:tc>
        <w:tc>
          <w:tcPr>
            <w:tcW w:w="851" w:type="dxa"/>
          </w:tcPr>
          <w:p w:rsidR="00B51749" w:rsidRPr="00F0732E" w:rsidRDefault="00B51749" w:rsidP="00447572">
            <w:pPr>
              <w:jc w:val="center"/>
              <w:rPr>
                <w:color w:val="000000"/>
                <w:sz w:val="28"/>
                <w:szCs w:val="28"/>
              </w:rPr>
            </w:pPr>
            <w:r w:rsidRPr="00F0732E">
              <w:rPr>
                <w:color w:val="000000"/>
                <w:sz w:val="28"/>
                <w:szCs w:val="28"/>
              </w:rPr>
              <w:t>2,5</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1/536</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EC#38</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 xml:space="preserve">Šturdík E., Monošík R., </w:t>
            </w:r>
            <w:r w:rsidRPr="00F0732E">
              <w:rPr>
                <w:rFonts w:eastAsia="Times New Roman"/>
                <w:color w:val="000000"/>
                <w:sz w:val="28"/>
                <w:szCs w:val="28"/>
                <w:lang w:eastAsia="sk-SK"/>
              </w:rPr>
              <w:lastRenderedPageBreak/>
              <w:t>Labuda J.</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lastRenderedPageBreak/>
              <w:t xml:space="preserve">Biosensors; Biosensing </w:t>
            </w:r>
            <w:r w:rsidRPr="00F0732E">
              <w:rPr>
                <w:rFonts w:eastAsia="Times New Roman"/>
                <w:color w:val="000000"/>
                <w:sz w:val="28"/>
                <w:szCs w:val="28"/>
                <w:lang w:eastAsia="sk-SK"/>
              </w:rPr>
              <w:lastRenderedPageBreak/>
              <w:t>Techniques; Enzymes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lastRenderedPageBreak/>
              <w:t>14/438</w:t>
            </w:r>
          </w:p>
        </w:tc>
        <w:tc>
          <w:tcPr>
            <w:tcW w:w="851" w:type="dxa"/>
          </w:tcPr>
          <w:p w:rsidR="00B51749" w:rsidRPr="00F0732E" w:rsidRDefault="00B51749" w:rsidP="00447572">
            <w:pPr>
              <w:jc w:val="center"/>
              <w:rPr>
                <w:color w:val="000000"/>
                <w:sz w:val="28"/>
                <w:szCs w:val="28"/>
              </w:rPr>
            </w:pPr>
            <w:r w:rsidRPr="00F0732E">
              <w:rPr>
                <w:color w:val="000000"/>
                <w:sz w:val="28"/>
                <w:szCs w:val="28"/>
              </w:rPr>
              <w:t>3,2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64/3241</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lastRenderedPageBreak/>
              <w:t>EC#39</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Kenyeres J., Kenyeres M., Farkaš P.</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 xml:space="preserve">Wireless sensor networks; Sensor nodes; </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5/335</w:t>
            </w:r>
          </w:p>
        </w:tc>
        <w:tc>
          <w:tcPr>
            <w:tcW w:w="851" w:type="dxa"/>
          </w:tcPr>
          <w:p w:rsidR="00B51749" w:rsidRPr="00F0732E" w:rsidRDefault="00B51749" w:rsidP="00447572">
            <w:pPr>
              <w:jc w:val="center"/>
              <w:rPr>
                <w:color w:val="000000"/>
                <w:sz w:val="28"/>
                <w:szCs w:val="28"/>
              </w:rPr>
            </w:pPr>
            <w:r w:rsidRPr="00F0732E">
              <w:rPr>
                <w:color w:val="000000"/>
                <w:sz w:val="28"/>
                <w:szCs w:val="28"/>
              </w:rPr>
              <w:t>1,5</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0/449</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EC#40</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Drtil M., Jonatová I., Galbová K.</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sludge; Wastewater; Wastewater treatment</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7/235</w:t>
            </w:r>
          </w:p>
        </w:tc>
        <w:tc>
          <w:tcPr>
            <w:tcW w:w="851" w:type="dxa"/>
          </w:tcPr>
          <w:p w:rsidR="00B51749" w:rsidRPr="00F0732E" w:rsidRDefault="00B51749" w:rsidP="00447572">
            <w:pPr>
              <w:jc w:val="center"/>
              <w:rPr>
                <w:color w:val="000000"/>
                <w:sz w:val="28"/>
                <w:szCs w:val="28"/>
              </w:rPr>
            </w:pPr>
            <w:r w:rsidRPr="00F0732E">
              <w:rPr>
                <w:color w:val="000000"/>
                <w:sz w:val="28"/>
                <w:szCs w:val="28"/>
              </w:rPr>
              <w:t>3,0</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25/1002</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 xml:space="preserve"> </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EC#41</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Haydary J., Susa D., Bajus M.</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Pyrolysis; Tires; Kinetics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6/239</w:t>
            </w:r>
          </w:p>
        </w:tc>
        <w:tc>
          <w:tcPr>
            <w:tcW w:w="851" w:type="dxa"/>
          </w:tcPr>
          <w:p w:rsidR="00B51749" w:rsidRPr="00F0732E" w:rsidRDefault="00B51749" w:rsidP="00447572">
            <w:pPr>
              <w:jc w:val="center"/>
              <w:rPr>
                <w:color w:val="000000"/>
                <w:sz w:val="28"/>
                <w:szCs w:val="28"/>
              </w:rPr>
            </w:pPr>
            <w:r w:rsidRPr="00F0732E">
              <w:rPr>
                <w:color w:val="000000"/>
                <w:sz w:val="28"/>
                <w:szCs w:val="28"/>
              </w:rPr>
              <w:t>2,5</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6/1380</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EC#42</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Baník I., Kubliha M., Labaš V.</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Glass; Amorphous materials; Thin films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10/207</w:t>
            </w:r>
          </w:p>
        </w:tc>
        <w:tc>
          <w:tcPr>
            <w:tcW w:w="851" w:type="dxa"/>
          </w:tcPr>
          <w:p w:rsidR="00B51749" w:rsidRPr="00F0732E" w:rsidRDefault="00B51749" w:rsidP="00447572">
            <w:pPr>
              <w:jc w:val="center"/>
              <w:rPr>
                <w:color w:val="000000"/>
                <w:sz w:val="28"/>
                <w:szCs w:val="28"/>
              </w:rPr>
            </w:pPr>
            <w:r w:rsidRPr="00F0732E">
              <w:rPr>
                <w:color w:val="000000"/>
                <w:sz w:val="28"/>
                <w:szCs w:val="28"/>
              </w:rPr>
              <w:t>4,8</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30/629</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EC#43</w:t>
            </w:r>
          </w:p>
        </w:tc>
        <w:tc>
          <w:tcPr>
            <w:tcW w:w="3581" w:type="dxa"/>
            <w:shd w:val="clear" w:color="auto" w:fill="auto"/>
            <w:noWrap/>
            <w:vAlign w:val="bottom"/>
          </w:tcPr>
          <w:p w:rsidR="00B51749"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 xml:space="preserve">Škriniarová </w:t>
            </w:r>
            <w:r w:rsidR="002D3B86">
              <w:rPr>
                <w:rFonts w:eastAsia="Times New Roman"/>
                <w:color w:val="000000"/>
                <w:sz w:val="28"/>
                <w:szCs w:val="28"/>
                <w:lang w:eastAsia="sk-SK"/>
              </w:rPr>
              <w:t>J., Kováč Jr. J.</w:t>
            </w:r>
          </w:p>
          <w:p w:rsidR="002D3B86" w:rsidRPr="00F0732E" w:rsidRDefault="002D3B86" w:rsidP="0045282C">
            <w:pPr>
              <w:jc w:val="left"/>
              <w:rPr>
                <w:rFonts w:eastAsia="Times New Roman"/>
                <w:color w:val="000000"/>
                <w:sz w:val="28"/>
                <w:szCs w:val="28"/>
                <w:lang w:eastAsia="sk-SK"/>
              </w:rPr>
            </w:pP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 xml:space="preserve">Photonic crystals; Light emitting diodes; </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14/284</w:t>
            </w:r>
          </w:p>
        </w:tc>
        <w:tc>
          <w:tcPr>
            <w:tcW w:w="851" w:type="dxa"/>
          </w:tcPr>
          <w:p w:rsidR="00B51749" w:rsidRPr="00F0732E" w:rsidRDefault="00B51749" w:rsidP="00447572">
            <w:pPr>
              <w:jc w:val="center"/>
              <w:rPr>
                <w:color w:val="000000"/>
                <w:sz w:val="28"/>
                <w:szCs w:val="28"/>
              </w:rPr>
            </w:pPr>
            <w:r w:rsidRPr="00F0732E">
              <w:rPr>
                <w:color w:val="000000"/>
                <w:sz w:val="28"/>
                <w:szCs w:val="28"/>
              </w:rPr>
              <w:t>4,9</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19/1350</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EC#44</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Halás M., Žilka V., Ondera M.</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Time delay; Nonlinear systems; Polynomials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19/157</w:t>
            </w:r>
          </w:p>
        </w:tc>
        <w:tc>
          <w:tcPr>
            <w:tcW w:w="851" w:type="dxa"/>
          </w:tcPr>
          <w:p w:rsidR="00B51749" w:rsidRPr="00F0732E" w:rsidRDefault="00B51749" w:rsidP="00447572">
            <w:pPr>
              <w:jc w:val="center"/>
              <w:rPr>
                <w:color w:val="000000"/>
                <w:sz w:val="28"/>
                <w:szCs w:val="28"/>
              </w:rPr>
            </w:pPr>
            <w:r w:rsidRPr="00F0732E">
              <w:rPr>
                <w:color w:val="000000"/>
                <w:sz w:val="28"/>
                <w:szCs w:val="28"/>
              </w:rPr>
              <w:t>12,1</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33/288</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EC#45</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Bodík I., Drtil M., Sedláček S.</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Bioreactors; bioreactor; Membranes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4/255</w:t>
            </w:r>
          </w:p>
        </w:tc>
        <w:tc>
          <w:tcPr>
            <w:tcW w:w="851" w:type="dxa"/>
          </w:tcPr>
          <w:p w:rsidR="00B51749" w:rsidRPr="00F0732E" w:rsidRDefault="00B51749" w:rsidP="00447572">
            <w:pPr>
              <w:jc w:val="center"/>
              <w:rPr>
                <w:color w:val="000000"/>
                <w:sz w:val="28"/>
                <w:szCs w:val="28"/>
              </w:rPr>
            </w:pPr>
            <w:r w:rsidRPr="00F0732E">
              <w:rPr>
                <w:color w:val="000000"/>
                <w:sz w:val="28"/>
                <w:szCs w:val="28"/>
              </w:rPr>
              <w:t>1,6</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4/2236</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EC#46</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Bodík I., Kubaská M., Drtil M.</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Wastewater treatment;  Bioreactors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5/246</w:t>
            </w:r>
          </w:p>
        </w:tc>
        <w:tc>
          <w:tcPr>
            <w:tcW w:w="851" w:type="dxa"/>
          </w:tcPr>
          <w:p w:rsidR="00B51749" w:rsidRPr="00F0732E" w:rsidRDefault="00B51749" w:rsidP="00447572">
            <w:pPr>
              <w:jc w:val="center"/>
              <w:rPr>
                <w:color w:val="000000"/>
                <w:sz w:val="28"/>
                <w:szCs w:val="28"/>
              </w:rPr>
            </w:pPr>
            <w:r w:rsidRPr="00F0732E">
              <w:rPr>
                <w:color w:val="000000"/>
                <w:sz w:val="28"/>
                <w:szCs w:val="28"/>
              </w:rPr>
              <w:t>2,0</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6/1588</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EC#47</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Cvengrošová Z., Buzetzki E., Cvengroš J.</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Catalytic cracking; Vegetable oils; Catalysts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5/225</w:t>
            </w:r>
          </w:p>
        </w:tc>
        <w:tc>
          <w:tcPr>
            <w:tcW w:w="851" w:type="dxa"/>
          </w:tcPr>
          <w:p w:rsidR="00B51749" w:rsidRPr="00F0732E" w:rsidRDefault="00B51749" w:rsidP="00447572">
            <w:pPr>
              <w:jc w:val="center"/>
              <w:rPr>
                <w:color w:val="000000"/>
                <w:sz w:val="28"/>
                <w:szCs w:val="28"/>
              </w:rPr>
            </w:pPr>
            <w:r w:rsidRPr="00F0732E">
              <w:rPr>
                <w:color w:val="000000"/>
                <w:sz w:val="28"/>
                <w:szCs w:val="28"/>
              </w:rPr>
              <w:t>2,2</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22/2009</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EC#48</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Prousek J., Švorc L.U., Drtil M.</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Degradation; Photolysis; photodegradation</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5/296</w:t>
            </w:r>
          </w:p>
        </w:tc>
        <w:tc>
          <w:tcPr>
            <w:tcW w:w="851" w:type="dxa"/>
          </w:tcPr>
          <w:p w:rsidR="00B51749" w:rsidRPr="00F0732E" w:rsidRDefault="00B51749" w:rsidP="00447572">
            <w:pPr>
              <w:jc w:val="center"/>
              <w:rPr>
                <w:color w:val="000000"/>
                <w:sz w:val="28"/>
                <w:szCs w:val="28"/>
              </w:rPr>
            </w:pPr>
            <w:r w:rsidRPr="00F0732E">
              <w:rPr>
                <w:color w:val="000000"/>
                <w:sz w:val="28"/>
                <w:szCs w:val="28"/>
              </w:rPr>
              <w:t>1,7</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10/1583</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00B050"/>
                <w:sz w:val="28"/>
                <w:szCs w:val="28"/>
                <w:lang w:eastAsia="sk-SK"/>
              </w:rPr>
              <w:t>↑</w:t>
            </w:r>
          </w:p>
        </w:tc>
      </w:tr>
      <w:tr w:rsidR="00B51749" w:rsidRPr="00F0732E" w:rsidTr="00447572">
        <w:trPr>
          <w:trHeight w:val="288"/>
        </w:trPr>
        <w:tc>
          <w:tcPr>
            <w:tcW w:w="1237"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EC#49</w:t>
            </w:r>
          </w:p>
        </w:tc>
        <w:tc>
          <w:tcPr>
            <w:tcW w:w="3581"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Žiaran S.</w:t>
            </w:r>
          </w:p>
        </w:tc>
        <w:tc>
          <w:tcPr>
            <w:tcW w:w="3685" w:type="dxa"/>
            <w:shd w:val="clear" w:color="auto" w:fill="auto"/>
            <w:noWrap/>
            <w:vAlign w:val="bottom"/>
          </w:tcPr>
          <w:p w:rsidR="00B51749" w:rsidRPr="00F0732E" w:rsidRDefault="00B51749" w:rsidP="0045282C">
            <w:pPr>
              <w:jc w:val="left"/>
              <w:rPr>
                <w:rFonts w:eastAsia="Times New Roman"/>
                <w:color w:val="000000"/>
                <w:sz w:val="28"/>
                <w:szCs w:val="28"/>
                <w:lang w:eastAsia="sk-SK"/>
              </w:rPr>
            </w:pPr>
            <w:r w:rsidRPr="00F0732E">
              <w:rPr>
                <w:rFonts w:eastAsia="Times New Roman"/>
                <w:color w:val="000000"/>
                <w:sz w:val="28"/>
                <w:szCs w:val="28"/>
                <w:lang w:eastAsia="sk-SK"/>
              </w:rPr>
              <w:t>Underwater acoustics; Acoustics; Modems</w:t>
            </w:r>
          </w:p>
        </w:tc>
        <w:tc>
          <w:tcPr>
            <w:tcW w:w="1134"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3/142</w:t>
            </w:r>
          </w:p>
        </w:tc>
        <w:tc>
          <w:tcPr>
            <w:tcW w:w="851" w:type="dxa"/>
          </w:tcPr>
          <w:p w:rsidR="00B51749" w:rsidRPr="00F0732E" w:rsidRDefault="00B51749" w:rsidP="00447572">
            <w:pPr>
              <w:jc w:val="center"/>
              <w:rPr>
                <w:color w:val="000000"/>
                <w:sz w:val="28"/>
                <w:szCs w:val="28"/>
              </w:rPr>
            </w:pPr>
            <w:r w:rsidRPr="00F0732E">
              <w:rPr>
                <w:color w:val="000000"/>
                <w:sz w:val="28"/>
                <w:szCs w:val="28"/>
              </w:rPr>
              <w:t>2,1</w:t>
            </w:r>
          </w:p>
        </w:tc>
        <w:tc>
          <w:tcPr>
            <w:tcW w:w="1276" w:type="dxa"/>
            <w:shd w:val="clear" w:color="auto" w:fill="auto"/>
            <w:noWrap/>
            <w:vAlign w:val="bottom"/>
          </w:tcPr>
          <w:p w:rsidR="00B51749" w:rsidRPr="00F0732E" w:rsidRDefault="00B51749" w:rsidP="00447572">
            <w:pPr>
              <w:jc w:val="center"/>
              <w:rPr>
                <w:color w:val="000000"/>
                <w:sz w:val="28"/>
                <w:szCs w:val="28"/>
              </w:rPr>
            </w:pPr>
            <w:r w:rsidRPr="00F0732E">
              <w:rPr>
                <w:color w:val="000000"/>
                <w:sz w:val="28"/>
                <w:szCs w:val="28"/>
              </w:rPr>
              <w:t>1/219</w:t>
            </w:r>
          </w:p>
        </w:tc>
        <w:tc>
          <w:tcPr>
            <w:tcW w:w="992" w:type="dxa"/>
          </w:tcPr>
          <w:p w:rsidR="00B51749" w:rsidRPr="00F0732E" w:rsidRDefault="00B51749" w:rsidP="00447572">
            <w:pPr>
              <w:jc w:val="center"/>
              <w:rPr>
                <w:rFonts w:eastAsia="Times New Roman"/>
                <w:color w:val="000000"/>
                <w:sz w:val="28"/>
                <w:szCs w:val="28"/>
                <w:lang w:eastAsia="sk-SK"/>
              </w:rPr>
            </w:pPr>
            <w:r w:rsidRPr="00F0732E">
              <w:rPr>
                <w:rFonts w:eastAsia="Times New Roman"/>
                <w:b/>
                <w:color w:val="FF0000"/>
                <w:sz w:val="28"/>
                <w:szCs w:val="28"/>
                <w:lang w:eastAsia="sk-SK"/>
              </w:rPr>
              <w:t>↓</w:t>
            </w:r>
          </w:p>
        </w:tc>
      </w:tr>
    </w:tbl>
    <w:p w:rsidR="00B51749" w:rsidRPr="00F0732E" w:rsidRDefault="00B51749" w:rsidP="00B51749">
      <w:pPr>
        <w:rPr>
          <w:sz w:val="28"/>
          <w:szCs w:val="28"/>
        </w:rPr>
        <w:sectPr w:rsidR="00B51749" w:rsidRPr="00F0732E" w:rsidSect="00447572">
          <w:pgSz w:w="16840" w:h="11900" w:orient="landscape"/>
          <w:pgMar w:top="1418" w:right="1418" w:bottom="624" w:left="1418" w:header="709" w:footer="709" w:gutter="0"/>
          <w:cols w:space="708"/>
          <w:docGrid w:linePitch="360"/>
        </w:sectPr>
      </w:pPr>
    </w:p>
    <w:p w:rsidR="00B51749" w:rsidRPr="00F0732E" w:rsidRDefault="00B51749" w:rsidP="00B51749">
      <w:pPr>
        <w:rPr>
          <w:sz w:val="28"/>
          <w:szCs w:val="28"/>
        </w:rPr>
      </w:pPr>
      <w:r w:rsidRPr="00F0732E">
        <w:rPr>
          <w:sz w:val="28"/>
          <w:szCs w:val="28"/>
        </w:rPr>
        <w:lastRenderedPageBreak/>
        <w:t xml:space="preserve">V </w:t>
      </w:r>
      <w:r w:rsidR="003D2012">
        <w:rPr>
          <w:sz w:val="28"/>
          <w:szCs w:val="28"/>
        </w:rPr>
        <w:t>T</w:t>
      </w:r>
      <w:r w:rsidRPr="00F0732E">
        <w:rPr>
          <w:sz w:val="28"/>
          <w:szCs w:val="28"/>
        </w:rPr>
        <w:t>abuľke 5.7 je uvedených prvých 100 publikačne najproduktívnejších autorov z STU s uvedením počtu publikácií a citácií za obdobie rokov 2011</w:t>
      </w:r>
      <w:r w:rsidR="001E4CCF">
        <w:rPr>
          <w:sz w:val="28"/>
          <w:szCs w:val="28"/>
        </w:rPr>
        <w:t xml:space="preserve"> – </w:t>
      </w:r>
      <w:r w:rsidRPr="00F0732E">
        <w:rPr>
          <w:sz w:val="28"/>
          <w:szCs w:val="28"/>
        </w:rPr>
        <w:t>2014 a s uvedením ich h-indexu podľa databázy SCOPUS.</w:t>
      </w:r>
    </w:p>
    <w:p w:rsidR="00B51749" w:rsidRPr="00F0732E" w:rsidRDefault="00B51749" w:rsidP="00B51749">
      <w:pPr>
        <w:rPr>
          <w:sz w:val="28"/>
          <w:szCs w:val="28"/>
        </w:rPr>
      </w:pPr>
    </w:p>
    <w:p w:rsidR="00B51749" w:rsidRPr="00F0732E" w:rsidRDefault="00B51749" w:rsidP="00B51749">
      <w:pPr>
        <w:jc w:val="left"/>
        <w:rPr>
          <w:b/>
          <w:sz w:val="28"/>
          <w:szCs w:val="28"/>
        </w:rPr>
      </w:pPr>
      <w:r w:rsidRPr="00F0732E">
        <w:rPr>
          <w:b/>
          <w:sz w:val="28"/>
          <w:szCs w:val="28"/>
        </w:rPr>
        <w:t>Tabuľka 5.7: 100 najproduktívnejších autorov zo Slovenskej technickej univerzity za obdobie rokov 2011</w:t>
      </w:r>
      <w:r w:rsidR="001E4CCF">
        <w:rPr>
          <w:b/>
          <w:sz w:val="28"/>
          <w:szCs w:val="28"/>
        </w:rPr>
        <w:t xml:space="preserve"> – </w:t>
      </w:r>
      <w:r w:rsidRPr="00F0732E">
        <w:rPr>
          <w:b/>
          <w:sz w:val="28"/>
          <w:szCs w:val="28"/>
        </w:rPr>
        <w:t>2014</w:t>
      </w:r>
    </w:p>
    <w:p w:rsidR="00B51749" w:rsidRPr="00F0732E" w:rsidRDefault="00B51749" w:rsidP="00B51749">
      <w:pPr>
        <w:rPr>
          <w:sz w:val="28"/>
          <w:szCs w:val="28"/>
        </w:rPr>
      </w:pPr>
    </w:p>
    <w:tbl>
      <w:tblPr>
        <w:tblpPr w:leftFromText="141" w:rightFromText="141" w:vertAnchor="text" w:tblpXSpec="center" w:tblpY="1"/>
        <w:tblOverlap w:val="never"/>
        <w:tblW w:w="63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06"/>
        <w:gridCol w:w="2016"/>
        <w:gridCol w:w="1417"/>
        <w:gridCol w:w="1276"/>
        <w:gridCol w:w="1009"/>
      </w:tblGrid>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p>
        </w:tc>
        <w:tc>
          <w:tcPr>
            <w:tcW w:w="2016" w:type="dxa"/>
            <w:shd w:val="clear" w:color="auto" w:fill="auto"/>
            <w:noWrap/>
            <w:vAlign w:val="bottom"/>
            <w:hideMark/>
          </w:tcPr>
          <w:p w:rsidR="00B51749" w:rsidRPr="00F0732E" w:rsidRDefault="00B51749" w:rsidP="00447572">
            <w:pPr>
              <w:rPr>
                <w:rFonts w:eastAsia="Times New Roman"/>
                <w:b/>
                <w:color w:val="000000"/>
                <w:sz w:val="28"/>
                <w:szCs w:val="28"/>
                <w:lang w:eastAsia="sk-SK"/>
              </w:rPr>
            </w:pPr>
            <w:r w:rsidRPr="00F0732E">
              <w:rPr>
                <w:rFonts w:eastAsia="Times New Roman"/>
                <w:b/>
                <w:color w:val="000000"/>
                <w:sz w:val="28"/>
                <w:szCs w:val="28"/>
                <w:lang w:eastAsia="sk-SK"/>
              </w:rPr>
              <w:t>Pracovník</w:t>
            </w:r>
          </w:p>
        </w:tc>
        <w:tc>
          <w:tcPr>
            <w:tcW w:w="1417"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Poč. publ.</w:t>
            </w:r>
          </w:p>
        </w:tc>
        <w:tc>
          <w:tcPr>
            <w:tcW w:w="1276"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h-index</w:t>
            </w:r>
          </w:p>
        </w:tc>
        <w:tc>
          <w:tcPr>
            <w:tcW w:w="1009" w:type="dxa"/>
            <w:shd w:val="clear" w:color="auto" w:fill="auto"/>
            <w:noWrap/>
            <w:vAlign w:val="bottom"/>
            <w:hideMark/>
          </w:tcPr>
          <w:p w:rsidR="00B51749" w:rsidRPr="00F0732E" w:rsidRDefault="00B51749" w:rsidP="00447572">
            <w:pPr>
              <w:jc w:val="center"/>
              <w:rPr>
                <w:rFonts w:eastAsia="Times New Roman"/>
                <w:b/>
                <w:color w:val="000000"/>
                <w:sz w:val="28"/>
                <w:szCs w:val="28"/>
                <w:lang w:eastAsia="sk-SK"/>
              </w:rPr>
            </w:pPr>
            <w:r w:rsidRPr="00F0732E">
              <w:rPr>
                <w:rFonts w:eastAsia="Times New Roman"/>
                <w:b/>
                <w:color w:val="000000"/>
                <w:sz w:val="28"/>
                <w:szCs w:val="28"/>
                <w:lang w:eastAsia="sk-SK"/>
              </w:rPr>
              <w:t>Citácie</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Mesiar, R.</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29.0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Donoval, D.</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Bieliková,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Kožíšek,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Veselý,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Kováč,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Stopjaková,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Fikar,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Nečas,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Moncol,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Švorc, Ľ.</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Boča, R.</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Slugeň,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Huba,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Balog, K.</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31</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Weis,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Lukeš,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Brezová,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Knor,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Bakošová,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Čertík,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Mikolášek,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Šatka, A.</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Rapta,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25</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Petrisk</w:t>
            </w:r>
            <w:r w:rsidR="001B214F">
              <w:rPr>
                <w:rFonts w:eastAsia="Times New Roman"/>
                <w:color w:val="000000"/>
                <w:sz w:val="28"/>
                <w:szCs w:val="28"/>
                <w:lang w:eastAsia="sk-SK"/>
              </w:rPr>
              <w:t>á</w:t>
            </w:r>
            <w:r w:rsidRPr="00F0732E">
              <w:rPr>
                <w:rFonts w:eastAsia="Times New Roman"/>
                <w:color w:val="000000"/>
                <w:sz w:val="28"/>
                <w:szCs w:val="28"/>
                <w:lang w:eastAsia="sk-SK"/>
              </w:rPr>
              <w:t>,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Hronec,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Mikula, K.</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Milata,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29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Šturdík, E.</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lastRenderedPageBreak/>
              <w:t>30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Velíšek, K.</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31</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Novotn</w:t>
            </w:r>
            <w:r w:rsidR="001B214F">
              <w:rPr>
                <w:rFonts w:eastAsia="Times New Roman"/>
                <w:color w:val="000000"/>
                <w:sz w:val="28"/>
                <w:szCs w:val="28"/>
                <w:lang w:eastAsia="sk-SK"/>
              </w:rPr>
              <w:t>ý</w:t>
            </w:r>
            <w:r w:rsidRPr="00F0732E">
              <w:rPr>
                <w:rFonts w:eastAsia="Times New Roman"/>
                <w:color w:val="000000"/>
                <w:sz w:val="28"/>
                <w:szCs w:val="28"/>
                <w:lang w:eastAsia="sk-SK"/>
              </w:rPr>
              <w:t>, I.</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22</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Dosoudil, R.</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Kutiš,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Kvasnica,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Arbet, D.</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Chvála, A.</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Murín,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Škriniarová,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39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Veterníková,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Čaplovič, L.</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Harmatha, L.</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Jakabovič,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Kordoš,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Martinka,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Miglierini,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Oravec,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Šimon,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19</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Chaus, A.S.</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49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Duchoň, F.</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Gyepes, G.</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Janíček, F.</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Liptaj, T.</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Sabelová,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54</w:t>
            </w:r>
          </w:p>
        </w:tc>
        <w:tc>
          <w:tcPr>
            <w:tcW w:w="2016" w:type="dxa"/>
            <w:shd w:val="clear" w:color="auto" w:fill="auto"/>
            <w:noWrap/>
            <w:vAlign w:val="bottom"/>
            <w:hideMark/>
          </w:tcPr>
          <w:p w:rsidR="00B51749" w:rsidRPr="00F0732E" w:rsidRDefault="00B51749" w:rsidP="0045282C">
            <w:pPr>
              <w:rPr>
                <w:rFonts w:eastAsia="Times New Roman"/>
                <w:color w:val="000000"/>
                <w:sz w:val="28"/>
                <w:szCs w:val="28"/>
                <w:lang w:eastAsia="sk-SK"/>
              </w:rPr>
            </w:pPr>
            <w:r w:rsidRPr="00F0732E">
              <w:rPr>
                <w:rFonts w:eastAsia="Times New Roman"/>
                <w:color w:val="000000"/>
                <w:sz w:val="28"/>
                <w:szCs w:val="28"/>
                <w:lang w:eastAsia="sk-SK"/>
              </w:rPr>
              <w:t>Tanu</w:t>
            </w:r>
            <w:r w:rsidR="0045282C">
              <w:rPr>
                <w:rFonts w:eastAsia="Times New Roman"/>
                <w:color w:val="000000"/>
                <w:sz w:val="28"/>
                <w:szCs w:val="28"/>
                <w:lang w:eastAsia="sk-SK"/>
              </w:rPr>
              <w:t>š</w:t>
            </w:r>
            <w:r w:rsidRPr="00F0732E">
              <w:rPr>
                <w:rFonts w:eastAsia="Times New Roman"/>
                <w:color w:val="000000"/>
                <w:sz w:val="28"/>
                <w:szCs w:val="28"/>
                <w:lang w:eastAsia="sk-SK"/>
              </w:rPr>
              <w:t>ka,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Chrebet, T.</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Přibilová, A.</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Rozinaj, G.</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Valko,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59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Vrábel,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60</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Hotov</w:t>
            </w:r>
            <w:r w:rsidR="001B214F">
              <w:rPr>
                <w:rFonts w:eastAsia="Times New Roman"/>
                <w:color w:val="000000"/>
                <w:sz w:val="28"/>
                <w:szCs w:val="28"/>
                <w:lang w:eastAsia="sk-SK"/>
              </w:rPr>
              <w:t>ý</w:t>
            </w:r>
            <w:r w:rsidRPr="00F0732E">
              <w:rPr>
                <w:rFonts w:eastAsia="Times New Roman"/>
                <w:color w:val="000000"/>
                <w:sz w:val="28"/>
                <w:szCs w:val="28"/>
                <w:lang w:eastAsia="sk-SK"/>
              </w:rPr>
              <w:t>, I.</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Hubinský,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Kalina,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Kotuliak, I.</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64</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Kov</w:t>
            </w:r>
            <w:r w:rsidR="001B214F">
              <w:rPr>
                <w:rFonts w:eastAsia="Times New Roman"/>
                <w:color w:val="000000"/>
                <w:sz w:val="28"/>
                <w:szCs w:val="28"/>
                <w:lang w:eastAsia="sk-SK"/>
              </w:rPr>
              <w:t>áč</w:t>
            </w:r>
            <w:r w:rsidRPr="00F0732E">
              <w:rPr>
                <w:rFonts w:eastAsia="Times New Roman"/>
                <w:color w:val="000000"/>
                <w:sz w:val="28"/>
                <w:szCs w:val="28"/>
                <w:lang w:eastAsia="sk-SK"/>
              </w:rPr>
              <w:t>,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Markoš,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Breza,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Degmová,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lastRenderedPageBreak/>
              <w:t>68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Hroboňová, K.</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69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Klein, E.</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Koman,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Melník,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Mikula,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Molnár,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Paulen, R.</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Riečanová, Z.</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Rohal'-Ilkiv, B.</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77</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Soj</w:t>
            </w:r>
            <w:r w:rsidR="001B214F">
              <w:rPr>
                <w:rFonts w:eastAsia="Times New Roman"/>
                <w:color w:val="000000"/>
                <w:sz w:val="28"/>
                <w:szCs w:val="28"/>
                <w:lang w:eastAsia="sk-SK"/>
              </w:rPr>
              <w:t>á</w:t>
            </w:r>
            <w:r w:rsidRPr="00F0732E">
              <w:rPr>
                <w:rFonts w:eastAsia="Times New Roman"/>
                <w:color w:val="000000"/>
                <w:sz w:val="28"/>
                <w:szCs w:val="28"/>
                <w:lang w:eastAsia="sk-SK"/>
              </w:rPr>
              <w:t>k, S.</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Turňa,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79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Uherek, F.</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Ujhelyiová, A.</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Barbieriková, Z.</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82</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Bo</w:t>
            </w:r>
            <w:r w:rsidR="001B214F">
              <w:rPr>
                <w:rFonts w:eastAsia="Times New Roman"/>
                <w:color w:val="000000"/>
                <w:sz w:val="28"/>
                <w:szCs w:val="28"/>
                <w:lang w:eastAsia="sk-SK"/>
              </w:rPr>
              <w:t>ž</w:t>
            </w:r>
            <w:r w:rsidRPr="00F0732E">
              <w:rPr>
                <w:rFonts w:eastAsia="Times New Roman"/>
                <w:color w:val="000000"/>
                <w:sz w:val="28"/>
                <w:szCs w:val="28"/>
                <w:lang w:eastAsia="sk-SK"/>
              </w:rPr>
              <w:t>ek, P.</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83</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Brenkuš,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Breza,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23</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Dlháň, L.</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49</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Eleschová, Ž.</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Hudec, I.</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Janovec,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13.0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89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Kolesárová, A.</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90</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Lehotay,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91</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Marek,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92</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Polakovič,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15.0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93</w:t>
            </w:r>
          </w:p>
        </w:tc>
        <w:tc>
          <w:tcPr>
            <w:tcW w:w="2016" w:type="dxa"/>
            <w:shd w:val="clear" w:color="auto" w:fill="auto"/>
            <w:noWrap/>
            <w:vAlign w:val="bottom"/>
            <w:hideMark/>
          </w:tcPr>
          <w:p w:rsidR="00B51749" w:rsidRPr="00F0732E" w:rsidRDefault="00B51749" w:rsidP="001B214F">
            <w:pPr>
              <w:rPr>
                <w:rFonts w:eastAsia="Times New Roman"/>
                <w:color w:val="000000"/>
                <w:sz w:val="28"/>
                <w:szCs w:val="28"/>
                <w:lang w:eastAsia="sk-SK"/>
              </w:rPr>
            </w:pPr>
            <w:r w:rsidRPr="00F0732E">
              <w:rPr>
                <w:rFonts w:eastAsia="Times New Roman"/>
                <w:color w:val="000000"/>
                <w:sz w:val="28"/>
                <w:szCs w:val="28"/>
                <w:lang w:eastAsia="sk-SK"/>
              </w:rPr>
              <w:t>Reh</w:t>
            </w:r>
            <w:r w:rsidR="001B214F">
              <w:rPr>
                <w:rFonts w:eastAsia="Times New Roman"/>
                <w:color w:val="000000"/>
                <w:sz w:val="28"/>
                <w:szCs w:val="28"/>
                <w:lang w:eastAsia="sk-SK"/>
              </w:rPr>
              <w:t>áč</w:t>
            </w:r>
            <w:r w:rsidRPr="00F0732E">
              <w:rPr>
                <w:rFonts w:eastAsia="Times New Roman"/>
                <w:color w:val="000000"/>
                <w:sz w:val="28"/>
                <w:szCs w:val="28"/>
                <w:lang w:eastAsia="sk-SK"/>
              </w:rPr>
              <w:t>ek, V.</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16</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94</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Rimarčík, J.</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95</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Šoka,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96</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Špánik, I.</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11.0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38</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97</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Stuchlíková, L.</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98</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Ušáková, M.</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7.0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9</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99</w:t>
            </w:r>
          </w:p>
        </w:tc>
        <w:tc>
          <w:tcPr>
            <w:tcW w:w="2016" w:type="dxa"/>
            <w:shd w:val="clear" w:color="auto" w:fill="auto"/>
            <w:noWrap/>
            <w:vAlign w:val="bottom"/>
            <w:hideMark/>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Valík, L.</w:t>
            </w:r>
          </w:p>
        </w:tc>
        <w:tc>
          <w:tcPr>
            <w:tcW w:w="1417"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6.0</w:t>
            </w:r>
          </w:p>
        </w:tc>
        <w:tc>
          <w:tcPr>
            <w:tcW w:w="1009" w:type="dxa"/>
            <w:shd w:val="clear" w:color="auto" w:fill="auto"/>
            <w:noWrap/>
            <w:vAlign w:val="bottom"/>
            <w:hideMark/>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4</w:t>
            </w:r>
          </w:p>
        </w:tc>
      </w:tr>
      <w:tr w:rsidR="00B51749" w:rsidRPr="00F0732E" w:rsidTr="00447572">
        <w:trPr>
          <w:trHeight w:val="288"/>
        </w:trPr>
        <w:tc>
          <w:tcPr>
            <w:tcW w:w="606" w:type="dxa"/>
            <w:shd w:val="clear" w:color="auto" w:fill="auto"/>
            <w:noWrap/>
            <w:vAlign w:val="bottom"/>
          </w:tcPr>
          <w:p w:rsidR="00B51749" w:rsidRPr="00F0732E" w:rsidRDefault="00B51749" w:rsidP="00447572">
            <w:pPr>
              <w:jc w:val="right"/>
              <w:rPr>
                <w:rFonts w:eastAsia="Times New Roman"/>
                <w:color w:val="000000"/>
                <w:sz w:val="28"/>
                <w:szCs w:val="28"/>
                <w:lang w:eastAsia="sk-SK"/>
              </w:rPr>
            </w:pPr>
            <w:r w:rsidRPr="00F0732E">
              <w:rPr>
                <w:rFonts w:eastAsia="Times New Roman"/>
                <w:color w:val="000000"/>
                <w:sz w:val="28"/>
                <w:szCs w:val="28"/>
                <w:lang w:eastAsia="sk-SK"/>
              </w:rPr>
              <w:t>100</w:t>
            </w:r>
          </w:p>
        </w:tc>
        <w:tc>
          <w:tcPr>
            <w:tcW w:w="2016" w:type="dxa"/>
            <w:shd w:val="clear" w:color="auto" w:fill="auto"/>
            <w:noWrap/>
            <w:vAlign w:val="bottom"/>
          </w:tcPr>
          <w:p w:rsidR="00B51749" w:rsidRPr="00F0732E" w:rsidRDefault="00B51749" w:rsidP="00447572">
            <w:pPr>
              <w:rPr>
                <w:rFonts w:eastAsia="Times New Roman"/>
                <w:color w:val="000000"/>
                <w:sz w:val="28"/>
                <w:szCs w:val="28"/>
                <w:lang w:eastAsia="sk-SK"/>
              </w:rPr>
            </w:pPr>
            <w:r w:rsidRPr="00F0732E">
              <w:rPr>
                <w:rFonts w:eastAsia="Times New Roman"/>
                <w:color w:val="000000"/>
                <w:sz w:val="28"/>
                <w:szCs w:val="28"/>
                <w:lang w:eastAsia="sk-SK"/>
              </w:rPr>
              <w:t>Važan P.</w:t>
            </w:r>
          </w:p>
        </w:tc>
        <w:tc>
          <w:tcPr>
            <w:tcW w:w="1417" w:type="dxa"/>
            <w:shd w:val="clear" w:color="auto" w:fill="auto"/>
            <w:noWrap/>
            <w:vAlign w:val="bottom"/>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14</w:t>
            </w:r>
          </w:p>
        </w:tc>
        <w:tc>
          <w:tcPr>
            <w:tcW w:w="1276" w:type="dxa"/>
            <w:shd w:val="clear" w:color="auto" w:fill="auto"/>
            <w:noWrap/>
            <w:vAlign w:val="bottom"/>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2.0</w:t>
            </w:r>
          </w:p>
        </w:tc>
        <w:tc>
          <w:tcPr>
            <w:tcW w:w="1009" w:type="dxa"/>
            <w:shd w:val="clear" w:color="auto" w:fill="auto"/>
            <w:noWrap/>
            <w:vAlign w:val="bottom"/>
          </w:tcPr>
          <w:p w:rsidR="00B51749" w:rsidRPr="00F0732E" w:rsidRDefault="00B51749" w:rsidP="00447572">
            <w:pPr>
              <w:jc w:val="center"/>
              <w:rPr>
                <w:rFonts w:eastAsia="Times New Roman"/>
                <w:color w:val="000000"/>
                <w:sz w:val="28"/>
                <w:szCs w:val="28"/>
                <w:lang w:eastAsia="sk-SK"/>
              </w:rPr>
            </w:pPr>
            <w:r w:rsidRPr="00F0732E">
              <w:rPr>
                <w:rFonts w:eastAsia="Times New Roman"/>
                <w:color w:val="000000"/>
                <w:sz w:val="28"/>
                <w:szCs w:val="28"/>
                <w:lang w:eastAsia="sk-SK"/>
              </w:rPr>
              <w:t>5</w:t>
            </w:r>
          </w:p>
        </w:tc>
      </w:tr>
    </w:tbl>
    <w:p w:rsidR="00B51749" w:rsidRPr="00F0732E" w:rsidRDefault="00B51749" w:rsidP="00B51749">
      <w:pPr>
        <w:rPr>
          <w:sz w:val="28"/>
          <w:szCs w:val="28"/>
        </w:rPr>
      </w:pPr>
      <w:r w:rsidRPr="00F0732E">
        <w:rPr>
          <w:sz w:val="28"/>
          <w:szCs w:val="28"/>
        </w:rPr>
        <w:br w:type="textWrapping" w:clear="all"/>
      </w:r>
    </w:p>
    <w:p w:rsidR="00B51749" w:rsidRPr="00F0732E" w:rsidRDefault="00B51749" w:rsidP="00B51749">
      <w:pPr>
        <w:rPr>
          <w:sz w:val="28"/>
          <w:szCs w:val="28"/>
        </w:rPr>
      </w:pPr>
    </w:p>
    <w:p w:rsidR="00B51749" w:rsidRPr="00F0732E" w:rsidRDefault="00B51749" w:rsidP="00B51749">
      <w:pPr>
        <w:pStyle w:val="Odsekzoznamu"/>
        <w:spacing w:line="240" w:lineRule="auto"/>
        <w:ind w:left="0"/>
        <w:rPr>
          <w:rFonts w:ascii="Cambria" w:hAnsi="Cambria"/>
          <w:color w:val="FF0000"/>
          <w:sz w:val="28"/>
          <w:szCs w:val="28"/>
        </w:rPr>
      </w:pPr>
    </w:p>
    <w:p w:rsidR="00B51749" w:rsidRPr="00F0732E" w:rsidRDefault="00B51749" w:rsidP="00B51749">
      <w:pPr>
        <w:pStyle w:val="Nadpis2"/>
        <w:rPr>
          <w:rFonts w:ascii="Cambria" w:hAnsi="Cambria"/>
          <w:color w:val="auto"/>
        </w:rPr>
      </w:pPr>
      <w:bookmarkStart w:id="37" w:name="_Toc413009340"/>
      <w:r w:rsidRPr="00F0732E">
        <w:rPr>
          <w:rFonts w:ascii="Cambria" w:hAnsi="Cambria"/>
          <w:color w:val="auto"/>
        </w:rPr>
        <w:lastRenderedPageBreak/>
        <w:t>Budovanie infraštruktúry výskumu</w:t>
      </w:r>
      <w:bookmarkEnd w:id="37"/>
      <w:r w:rsidRPr="00F0732E">
        <w:rPr>
          <w:rFonts w:ascii="Cambria" w:hAnsi="Cambria"/>
          <w:color w:val="auto"/>
        </w:rPr>
        <w:t xml:space="preserve"> </w:t>
      </w:r>
    </w:p>
    <w:p w:rsidR="00B51749" w:rsidRPr="00F0732E" w:rsidRDefault="00B51749" w:rsidP="00B51749">
      <w:pPr>
        <w:autoSpaceDE w:val="0"/>
        <w:autoSpaceDN w:val="0"/>
        <w:adjustRightInd w:val="0"/>
        <w:rPr>
          <w:color w:val="FF0000"/>
          <w:sz w:val="28"/>
          <w:szCs w:val="28"/>
        </w:rPr>
      </w:pPr>
    </w:p>
    <w:p w:rsidR="00B51749" w:rsidRPr="00F0732E" w:rsidRDefault="00B51749" w:rsidP="00B51749">
      <w:pPr>
        <w:autoSpaceDE w:val="0"/>
        <w:autoSpaceDN w:val="0"/>
        <w:adjustRightInd w:val="0"/>
        <w:rPr>
          <w:sz w:val="28"/>
          <w:szCs w:val="28"/>
        </w:rPr>
      </w:pPr>
      <w:r w:rsidRPr="00F0732E">
        <w:rPr>
          <w:sz w:val="28"/>
          <w:szCs w:val="28"/>
        </w:rPr>
        <w:t>Ťažiskom pri budovaní novej infraštruktúry výskumu bolo v uplynulom roku vytvorenie Univerzitného vedeckého park</w:t>
      </w:r>
      <w:r w:rsidR="0045282C">
        <w:rPr>
          <w:sz w:val="28"/>
          <w:szCs w:val="28"/>
        </w:rPr>
        <w:t>u</w:t>
      </w:r>
      <w:r w:rsidRPr="00F0732E">
        <w:rPr>
          <w:sz w:val="28"/>
          <w:szCs w:val="28"/>
        </w:rPr>
        <w:t xml:space="preserve"> (UVP), ktorý organizačnou zmenou absorboval súčasti doterajšieho Výskumného centra STU (centrá excelentnosti, kompetenčné centrá, univerzitná knižnica), pričom jadrom UVP sa stali tri centrá : Mlynská dolina, Centrum BA a Trnava. Ekonomické a administratívne riadenie všetkých súčastí UVP zostalo na Projektovom stredisku STU. V predošlom roku naďalej pokračovali vo svojich aktivitách doterajšie Centrá excelentnosti a Kompetenčné centrá. Kritickým miestom pri čerpaní finančných prostriedkov zo ŠF EÚ je </w:t>
      </w:r>
      <w:r w:rsidR="003F0B7B">
        <w:rPr>
          <w:sz w:val="28"/>
          <w:szCs w:val="28"/>
        </w:rPr>
        <w:t>naďalej prebyrokratizovaný systé</w:t>
      </w:r>
      <w:r w:rsidRPr="00F0732E">
        <w:rPr>
          <w:sz w:val="28"/>
          <w:szCs w:val="28"/>
        </w:rPr>
        <w:t>m procesu verejného obstarávania, ktorý vý</w:t>
      </w:r>
      <w:r w:rsidR="003F0B7B">
        <w:rPr>
          <w:sz w:val="28"/>
          <w:szCs w:val="28"/>
        </w:rPr>
        <w:t>raznou mierou uberá z tvorivej k</w:t>
      </w:r>
      <w:r w:rsidRPr="00F0732E">
        <w:rPr>
          <w:sz w:val="28"/>
          <w:szCs w:val="28"/>
        </w:rPr>
        <w:t>apacity mnohých špikových vedeckých pracovníkov. Napriek tomu sa podarilo v uplynulom roku vyčerpa</w:t>
      </w:r>
      <w:r w:rsidR="003F0B7B">
        <w:rPr>
          <w:sz w:val="28"/>
          <w:szCs w:val="28"/>
        </w:rPr>
        <w:t>ť</w:t>
      </w:r>
      <w:r w:rsidRPr="00F0732E">
        <w:rPr>
          <w:sz w:val="28"/>
          <w:szCs w:val="28"/>
        </w:rPr>
        <w:t xml:space="preserve"> z týchto zdrojov asi 27 mil. €</w:t>
      </w:r>
    </w:p>
    <w:p w:rsidR="00B51749" w:rsidRPr="00F0732E" w:rsidRDefault="00B51749" w:rsidP="00B51749">
      <w:pPr>
        <w:autoSpaceDE w:val="0"/>
        <w:autoSpaceDN w:val="0"/>
        <w:adjustRightInd w:val="0"/>
        <w:rPr>
          <w:sz w:val="28"/>
          <w:szCs w:val="28"/>
        </w:rPr>
      </w:pPr>
      <w:r w:rsidRPr="00F0732E">
        <w:rPr>
          <w:sz w:val="28"/>
          <w:szCs w:val="28"/>
        </w:rPr>
        <w:t>Tabuľka 5.8 sumarizuje získané finančné prostriedky STU a jednotlivých súčastí zo ŠF EÚ v rámci OP V a OP VaV za roky 2011 až 2014.</w:t>
      </w:r>
    </w:p>
    <w:p w:rsidR="00B51749" w:rsidRPr="00F0732E" w:rsidRDefault="00B51749" w:rsidP="00B51749">
      <w:pPr>
        <w:pStyle w:val="Normlnywebov"/>
        <w:rPr>
          <w:rFonts w:ascii="Cambria" w:hAnsi="Cambria"/>
          <w:b/>
          <w:sz w:val="28"/>
          <w:szCs w:val="28"/>
        </w:rPr>
      </w:pPr>
      <w:r w:rsidRPr="00F0732E">
        <w:rPr>
          <w:rFonts w:ascii="Cambria" w:hAnsi="Cambria"/>
          <w:b/>
          <w:sz w:val="28"/>
          <w:szCs w:val="28"/>
        </w:rPr>
        <w:t>Tabuľka 5.8: Finančné prostriedky získané zo ŠF EÚ v rokoch 2011 až 2014</w:t>
      </w:r>
    </w:p>
    <w:tbl>
      <w:tblPr>
        <w:tblW w:w="8390" w:type="dxa"/>
        <w:jc w:val="center"/>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3"/>
        <w:gridCol w:w="1698"/>
        <w:gridCol w:w="1731"/>
        <w:gridCol w:w="1864"/>
        <w:gridCol w:w="2124"/>
      </w:tblGrid>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sz w:val="28"/>
                <w:szCs w:val="28"/>
                <w:lang w:eastAsia="sk-SK"/>
              </w:rPr>
            </w:pPr>
          </w:p>
        </w:tc>
        <w:tc>
          <w:tcPr>
            <w:tcW w:w="1634" w:type="dxa"/>
            <w:shd w:val="clear" w:color="auto" w:fill="auto"/>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2011</w:t>
            </w:r>
          </w:p>
        </w:tc>
        <w:tc>
          <w:tcPr>
            <w:tcW w:w="1731" w:type="dxa"/>
            <w:shd w:val="clear" w:color="auto" w:fill="auto"/>
            <w:noWrap/>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2012</w:t>
            </w:r>
          </w:p>
        </w:tc>
        <w:tc>
          <w:tcPr>
            <w:tcW w:w="1843" w:type="dxa"/>
            <w:shd w:val="clear" w:color="auto" w:fill="auto"/>
            <w:vAlign w:val="bottom"/>
            <w:hideMark/>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2013</w:t>
            </w:r>
          </w:p>
        </w:tc>
        <w:tc>
          <w:tcPr>
            <w:tcW w:w="2391" w:type="dxa"/>
            <w:shd w:val="clear" w:color="000000" w:fill="9BBB59"/>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2014</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SvF</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731" w:type="dxa"/>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75 183,03    </w:t>
            </w:r>
          </w:p>
        </w:tc>
        <w:tc>
          <w:tcPr>
            <w:tcW w:w="1843" w:type="dxa"/>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  431 333,12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140 029,00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SjF</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731" w:type="dxa"/>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55 431,06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1 726 947,72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745 169,00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FEI</w:t>
            </w:r>
          </w:p>
        </w:tc>
        <w:tc>
          <w:tcPr>
            <w:tcW w:w="1634" w:type="dxa"/>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    5 184,00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110 399,85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320 311,85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714 748,00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FChPT</w:t>
            </w:r>
          </w:p>
        </w:tc>
        <w:tc>
          <w:tcPr>
            <w:tcW w:w="1634" w:type="dxa"/>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142 945,45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245 691,94    </w:t>
            </w:r>
          </w:p>
        </w:tc>
        <w:tc>
          <w:tcPr>
            <w:tcW w:w="1843" w:type="dxa"/>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    576 871,36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1 923 269,00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FA</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MTF</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42 630,00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407 357,08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6 680 031,73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16 511 984,00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FIIT</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35 632,00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111 541,34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250 969,77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97 970,58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ÚM</w:t>
            </w:r>
          </w:p>
        </w:tc>
        <w:tc>
          <w:tcPr>
            <w:tcW w:w="1634"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731" w:type="dxa"/>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1843" w:type="dxa"/>
            <w:shd w:val="clear" w:color="auto" w:fill="auto"/>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      </w:t>
            </w:r>
          </w:p>
        </w:tc>
        <w:tc>
          <w:tcPr>
            <w:tcW w:w="2391" w:type="dxa"/>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R STU</w:t>
            </w:r>
          </w:p>
        </w:tc>
        <w:tc>
          <w:tcPr>
            <w:tcW w:w="1634" w:type="dxa"/>
            <w:tcBorders>
              <w:bottom w:val="single" w:sz="12"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9727984,10    </w:t>
            </w:r>
          </w:p>
        </w:tc>
        <w:tc>
          <w:tcPr>
            <w:tcW w:w="1731" w:type="dxa"/>
            <w:tcBorders>
              <w:bottom w:val="single" w:sz="12" w:space="0" w:color="auto"/>
            </w:tcBorders>
            <w:shd w:val="clear" w:color="auto" w:fill="auto"/>
            <w:noWrap/>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    8216481,42    </w:t>
            </w:r>
          </w:p>
        </w:tc>
        <w:tc>
          <w:tcPr>
            <w:tcW w:w="1843" w:type="dxa"/>
            <w:tcBorders>
              <w:bottom w:val="single" w:sz="12" w:space="0" w:color="auto"/>
            </w:tcBorders>
            <w:shd w:val="clear" w:color="auto" w:fill="auto"/>
            <w:vAlign w:val="bottom"/>
            <w:hideMark/>
          </w:tcPr>
          <w:p w:rsidR="00B51749" w:rsidRPr="00F0732E" w:rsidRDefault="00B51749" w:rsidP="00447572">
            <w:pPr>
              <w:rPr>
                <w:rFonts w:eastAsia="Times New Roman" w:cs="Arial"/>
                <w:sz w:val="28"/>
                <w:szCs w:val="28"/>
                <w:lang w:eastAsia="sk-SK"/>
              </w:rPr>
            </w:pPr>
            <w:r w:rsidRPr="00F0732E">
              <w:rPr>
                <w:rFonts w:eastAsia="Times New Roman" w:cs="Arial"/>
                <w:sz w:val="28"/>
                <w:szCs w:val="28"/>
                <w:lang w:eastAsia="sk-SK"/>
              </w:rPr>
              <w:t xml:space="preserve">2834371,10    </w:t>
            </w:r>
          </w:p>
        </w:tc>
        <w:tc>
          <w:tcPr>
            <w:tcW w:w="2391" w:type="dxa"/>
            <w:tcBorders>
              <w:bottom w:val="single" w:sz="12" w:space="0" w:color="auto"/>
            </w:tcBorders>
            <w:shd w:val="clear" w:color="auto" w:fill="auto"/>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 </w:t>
            </w:r>
          </w:p>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 xml:space="preserve">6 922 665,00    </w:t>
            </w:r>
          </w:p>
        </w:tc>
      </w:tr>
      <w:tr w:rsidR="00B51749" w:rsidRPr="00F0732E" w:rsidTr="00447572">
        <w:trPr>
          <w:trHeight w:val="264"/>
          <w:jc w:val="center"/>
        </w:trPr>
        <w:tc>
          <w:tcPr>
            <w:tcW w:w="791" w:type="dxa"/>
            <w:shd w:val="clear" w:color="auto" w:fill="auto"/>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Spolu</w:t>
            </w:r>
          </w:p>
        </w:tc>
        <w:tc>
          <w:tcPr>
            <w:tcW w:w="1634" w:type="dxa"/>
            <w:shd w:val="clear" w:color="auto" w:fill="FABF8F"/>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 xml:space="preserve">9954375,55    </w:t>
            </w:r>
          </w:p>
        </w:tc>
        <w:tc>
          <w:tcPr>
            <w:tcW w:w="1731" w:type="dxa"/>
            <w:shd w:val="clear" w:color="auto" w:fill="FABF8F"/>
            <w:noWrap/>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 xml:space="preserve">9222085,72    </w:t>
            </w:r>
          </w:p>
        </w:tc>
        <w:tc>
          <w:tcPr>
            <w:tcW w:w="1843" w:type="dxa"/>
            <w:shd w:val="clear" w:color="auto" w:fill="FABF8F"/>
            <w:vAlign w:val="bottom"/>
            <w:hideMark/>
          </w:tcPr>
          <w:p w:rsidR="00B51749" w:rsidRPr="00F0732E" w:rsidRDefault="00B51749" w:rsidP="00447572">
            <w:pPr>
              <w:rPr>
                <w:rFonts w:eastAsia="Times New Roman" w:cs="Arial"/>
                <w:b/>
                <w:sz w:val="28"/>
                <w:szCs w:val="28"/>
                <w:lang w:eastAsia="sk-SK"/>
              </w:rPr>
            </w:pPr>
            <w:r w:rsidRPr="00F0732E">
              <w:rPr>
                <w:rFonts w:eastAsia="Times New Roman" w:cs="Arial"/>
                <w:b/>
                <w:sz w:val="28"/>
                <w:szCs w:val="28"/>
                <w:lang w:eastAsia="sk-SK"/>
              </w:rPr>
              <w:t xml:space="preserve">12820836,65    </w:t>
            </w:r>
          </w:p>
        </w:tc>
        <w:tc>
          <w:tcPr>
            <w:tcW w:w="2391" w:type="dxa"/>
            <w:shd w:val="clear" w:color="auto" w:fill="FABF8F"/>
          </w:tcPr>
          <w:p w:rsidR="00B51749" w:rsidRPr="00F0732E" w:rsidRDefault="00B51749" w:rsidP="00447572">
            <w:pPr>
              <w:jc w:val="center"/>
              <w:rPr>
                <w:rFonts w:eastAsia="Times New Roman" w:cs="Arial"/>
                <w:b/>
                <w:sz w:val="28"/>
                <w:szCs w:val="28"/>
                <w:lang w:eastAsia="sk-SK"/>
              </w:rPr>
            </w:pPr>
            <w:r w:rsidRPr="00F0732E">
              <w:rPr>
                <w:rFonts w:eastAsia="Times New Roman" w:cs="Arial"/>
                <w:b/>
                <w:sz w:val="28"/>
                <w:szCs w:val="28"/>
                <w:lang w:eastAsia="sk-SK"/>
              </w:rPr>
              <w:t xml:space="preserve">27 055 834,58    </w:t>
            </w:r>
          </w:p>
        </w:tc>
      </w:tr>
    </w:tbl>
    <w:p w:rsidR="00B51749" w:rsidRPr="00F0732E" w:rsidRDefault="00B51749" w:rsidP="00B51749">
      <w:pPr>
        <w:autoSpaceDE w:val="0"/>
        <w:autoSpaceDN w:val="0"/>
        <w:adjustRightInd w:val="0"/>
        <w:rPr>
          <w:b/>
          <w:sz w:val="28"/>
          <w:szCs w:val="28"/>
        </w:rPr>
      </w:pPr>
    </w:p>
    <w:p w:rsidR="00B51749" w:rsidRPr="00F0732E" w:rsidRDefault="00B51749" w:rsidP="00B51749">
      <w:pPr>
        <w:autoSpaceDE w:val="0"/>
        <w:autoSpaceDN w:val="0"/>
        <w:adjustRightInd w:val="0"/>
        <w:rPr>
          <w:sz w:val="28"/>
          <w:szCs w:val="28"/>
        </w:rPr>
      </w:pPr>
    </w:p>
    <w:p w:rsidR="00B51749" w:rsidRPr="00F0732E" w:rsidRDefault="00B51749" w:rsidP="00B51749">
      <w:pPr>
        <w:pStyle w:val="Nadpis2"/>
        <w:rPr>
          <w:rFonts w:ascii="Cambria" w:hAnsi="Cambria"/>
          <w:color w:val="auto"/>
        </w:rPr>
      </w:pPr>
      <w:bookmarkStart w:id="38" w:name="_Toc413009341"/>
      <w:r w:rsidRPr="00F0732E">
        <w:rPr>
          <w:rFonts w:ascii="Cambria" w:hAnsi="Cambria"/>
          <w:color w:val="auto"/>
        </w:rPr>
        <w:lastRenderedPageBreak/>
        <w:t>Ochrana duševného vlastníctva a zabezpečenie využitia výsledkov výskumu v praxi</w:t>
      </w:r>
      <w:bookmarkEnd w:id="38"/>
      <w:r w:rsidRPr="00F0732E">
        <w:rPr>
          <w:rFonts w:ascii="Cambria" w:hAnsi="Cambria"/>
          <w:color w:val="auto"/>
        </w:rPr>
        <w:t xml:space="preserve"> </w:t>
      </w:r>
    </w:p>
    <w:p w:rsidR="00B51749" w:rsidRPr="00F0732E" w:rsidRDefault="00B51749" w:rsidP="00B51749">
      <w:pPr>
        <w:pStyle w:val="Nadpis3"/>
        <w:rPr>
          <w:rFonts w:ascii="Cambria" w:hAnsi="Cambria"/>
          <w:color w:val="auto"/>
          <w:sz w:val="28"/>
          <w:szCs w:val="28"/>
        </w:rPr>
      </w:pPr>
      <w:bookmarkStart w:id="39" w:name="_Toc413009342"/>
      <w:r w:rsidRPr="00F0732E">
        <w:rPr>
          <w:rFonts w:ascii="Cambria" w:hAnsi="Cambria"/>
          <w:color w:val="auto"/>
          <w:sz w:val="28"/>
          <w:szCs w:val="28"/>
        </w:rPr>
        <w:t>Know-how centrum STU</w:t>
      </w:r>
      <w:bookmarkEnd w:id="39"/>
    </w:p>
    <w:p w:rsidR="00B51749" w:rsidRPr="00F0732E" w:rsidRDefault="00B51749" w:rsidP="00B51749">
      <w:pPr>
        <w:rPr>
          <w:color w:val="FF0000"/>
          <w:sz w:val="28"/>
          <w:szCs w:val="28"/>
          <w:lang w:eastAsia="cs-CZ"/>
        </w:rPr>
      </w:pPr>
    </w:p>
    <w:p w:rsidR="00B51749" w:rsidRPr="00F0732E" w:rsidRDefault="00B51749" w:rsidP="00B51749">
      <w:pPr>
        <w:ind w:firstLine="360"/>
        <w:rPr>
          <w:sz w:val="28"/>
          <w:szCs w:val="28"/>
        </w:rPr>
      </w:pPr>
      <w:r w:rsidRPr="00F0732E">
        <w:rPr>
          <w:sz w:val="28"/>
          <w:szCs w:val="28"/>
        </w:rPr>
        <w:t>Ochranu duševného vlastníctva na STU zabezpečuje v súlade so smernicou o Ochrane a správe práv priemyselného vlastníctva na STU pracovisko Kancelária spolupráce s praxou (KSP), ktoré je organizačnou zložkou špecializovaného univerzitného pracoviska Know-how centrum STU. Smernica nadobudla účinnosť 1.</w:t>
      </w:r>
      <w:r w:rsidR="00177077">
        <w:rPr>
          <w:sz w:val="28"/>
          <w:szCs w:val="28"/>
        </w:rPr>
        <w:t xml:space="preserve"> </w:t>
      </w:r>
      <w:r w:rsidRPr="00F0732E">
        <w:rPr>
          <w:sz w:val="28"/>
          <w:szCs w:val="28"/>
        </w:rPr>
        <w:t>10.</w:t>
      </w:r>
      <w:r w:rsidR="00177077">
        <w:rPr>
          <w:sz w:val="28"/>
          <w:szCs w:val="28"/>
        </w:rPr>
        <w:t xml:space="preserve"> </w:t>
      </w:r>
      <w:r w:rsidRPr="00F0732E">
        <w:rPr>
          <w:sz w:val="28"/>
          <w:szCs w:val="28"/>
        </w:rPr>
        <w:t>2013. KSP poskytuje pôvodcom predmetov priemyselného vlastníctva odborné poradenstvo v oblasti ochrany duševného vlastníctva, mapuje technológie a poznatky z výskumu pracovísk STU, propaguje výsledky výskumu STU a vytvára podmienky pre transfer technológií a výsledkov výskumu do praxe. KSP využíva v procese transferu technológií na základe uzatvorenej zmluvy medzi STU a Centrom vedecko-technických informácií SR (CVTI SR) expertné podporné služby, ktoré sú poskytované v rámci Národného systému podpory transferu technológií (NSPTT).</w:t>
      </w:r>
    </w:p>
    <w:p w:rsidR="00B51749" w:rsidRPr="00F0732E" w:rsidRDefault="00B51749" w:rsidP="00B51749">
      <w:pPr>
        <w:ind w:firstLine="360"/>
        <w:rPr>
          <w:sz w:val="28"/>
          <w:szCs w:val="28"/>
        </w:rPr>
      </w:pPr>
    </w:p>
    <w:p w:rsidR="00B51749" w:rsidRPr="00F0732E" w:rsidRDefault="00B51749" w:rsidP="00B51749">
      <w:pPr>
        <w:ind w:firstLine="360"/>
        <w:rPr>
          <w:sz w:val="28"/>
          <w:szCs w:val="28"/>
        </w:rPr>
      </w:pPr>
      <w:r w:rsidRPr="00F0732E">
        <w:rPr>
          <w:b/>
          <w:sz w:val="28"/>
          <w:szCs w:val="28"/>
        </w:rPr>
        <w:t>Za obdobie účinnosti smernice bolo podaných 11 oznámení pôvodcu o vytvorení predmetu priemyse</w:t>
      </w:r>
      <w:r w:rsidR="00177077">
        <w:rPr>
          <w:b/>
          <w:sz w:val="28"/>
          <w:szCs w:val="28"/>
        </w:rPr>
        <w:t xml:space="preserve">lného vlastníctva, v období od </w:t>
      </w:r>
      <w:r w:rsidRPr="00F0732E">
        <w:rPr>
          <w:b/>
          <w:sz w:val="28"/>
          <w:szCs w:val="28"/>
        </w:rPr>
        <w:t>1.</w:t>
      </w:r>
      <w:r w:rsidR="00177077">
        <w:rPr>
          <w:b/>
          <w:sz w:val="28"/>
          <w:szCs w:val="28"/>
        </w:rPr>
        <w:t xml:space="preserve"> </w:t>
      </w:r>
      <w:r w:rsidRPr="00F0732E">
        <w:rPr>
          <w:b/>
          <w:sz w:val="28"/>
          <w:szCs w:val="28"/>
        </w:rPr>
        <w:t>1.</w:t>
      </w:r>
      <w:r w:rsidR="00177077">
        <w:rPr>
          <w:b/>
          <w:sz w:val="28"/>
          <w:szCs w:val="28"/>
        </w:rPr>
        <w:t xml:space="preserve"> </w:t>
      </w:r>
      <w:r w:rsidRPr="00F0732E">
        <w:rPr>
          <w:b/>
          <w:sz w:val="28"/>
          <w:szCs w:val="28"/>
        </w:rPr>
        <w:t>2014 do 31.</w:t>
      </w:r>
      <w:r w:rsidR="00177077">
        <w:rPr>
          <w:b/>
          <w:sz w:val="28"/>
          <w:szCs w:val="28"/>
        </w:rPr>
        <w:t xml:space="preserve"> </w:t>
      </w:r>
      <w:r w:rsidRPr="00F0732E">
        <w:rPr>
          <w:b/>
          <w:sz w:val="28"/>
          <w:szCs w:val="28"/>
        </w:rPr>
        <w:t>12.</w:t>
      </w:r>
      <w:r w:rsidR="00177077">
        <w:rPr>
          <w:b/>
          <w:sz w:val="28"/>
          <w:szCs w:val="28"/>
        </w:rPr>
        <w:t xml:space="preserve"> </w:t>
      </w:r>
      <w:r w:rsidRPr="00F0732E">
        <w:rPr>
          <w:b/>
          <w:sz w:val="28"/>
          <w:szCs w:val="28"/>
        </w:rPr>
        <w:t>2014 bolo podaných 9 takýchto oznámení pôvodcu. Následne boli na Úrad priemyselného vlastníctva SR podané 3 patentové prihlášky, 5 prihlášok úžitkových vzorov, jedna prihláška dizajnu a 3 medzinárodné PCT prihlášky.</w:t>
      </w:r>
      <w:r w:rsidRPr="00F0732E">
        <w:rPr>
          <w:sz w:val="28"/>
          <w:szCs w:val="28"/>
        </w:rPr>
        <w:t xml:space="preserve"> </w:t>
      </w:r>
      <w:r w:rsidRPr="00F0732E">
        <w:rPr>
          <w:b/>
          <w:sz w:val="28"/>
          <w:szCs w:val="28"/>
        </w:rPr>
        <w:t>Bola podaná aj jedna patentová prihláška spoločne s Consejo Superior de Investigaciones Científicas (CSIC)</w:t>
      </w:r>
      <w:r w:rsidRPr="00F0732E">
        <w:rPr>
          <w:sz w:val="28"/>
          <w:szCs w:val="28"/>
        </w:rPr>
        <w:t xml:space="preserve"> na Španielskom úrade pre patenty a ochranné známky. </w:t>
      </w:r>
      <w:r w:rsidRPr="00F0732E">
        <w:rPr>
          <w:b/>
          <w:sz w:val="28"/>
          <w:szCs w:val="28"/>
        </w:rPr>
        <w:t>Individuálne bolo pracovníkmi STU</w:t>
      </w:r>
      <w:r w:rsidRPr="00F0732E">
        <w:rPr>
          <w:sz w:val="28"/>
          <w:szCs w:val="28"/>
        </w:rPr>
        <w:t xml:space="preserve"> (mimo smernice ako fyzické osoby) </w:t>
      </w:r>
      <w:r w:rsidRPr="00F0732E">
        <w:rPr>
          <w:b/>
          <w:sz w:val="28"/>
          <w:szCs w:val="28"/>
        </w:rPr>
        <w:t>podaných 9 prihlášok</w:t>
      </w:r>
      <w:r w:rsidRPr="00F0732E">
        <w:rPr>
          <w:sz w:val="28"/>
          <w:szCs w:val="28"/>
        </w:rPr>
        <w:t xml:space="preserve"> (patentové, úžitkové vzory), ktoré boli na základe komunikácie s pôvodcami začlenené do procesu jednotného postupu podľa smernice. Celkovo rieši KSP momentálne 21 prípadov s cieľom preniesť úspešné výsledky výskumu do praxe.</w:t>
      </w:r>
    </w:p>
    <w:p w:rsidR="00B51749" w:rsidRPr="00F0732E" w:rsidRDefault="00B51749" w:rsidP="00B51749">
      <w:pPr>
        <w:ind w:firstLine="360"/>
        <w:rPr>
          <w:sz w:val="28"/>
          <w:szCs w:val="28"/>
        </w:rPr>
      </w:pPr>
    </w:p>
    <w:p w:rsidR="00B51749" w:rsidRPr="00F0732E" w:rsidRDefault="00B51749" w:rsidP="00B51749">
      <w:pPr>
        <w:pStyle w:val="snormalny"/>
        <w:spacing w:line="240" w:lineRule="auto"/>
        <w:ind w:firstLine="360"/>
        <w:jc w:val="both"/>
        <w:rPr>
          <w:rFonts w:ascii="Cambria" w:hAnsi="Cambria" w:cs="Times New Roman"/>
          <w:color w:val="auto"/>
          <w:sz w:val="28"/>
          <w:szCs w:val="28"/>
        </w:rPr>
      </w:pPr>
      <w:r w:rsidRPr="00F0732E">
        <w:rPr>
          <w:rFonts w:ascii="Cambria" w:hAnsi="Cambria"/>
          <w:color w:val="auto"/>
          <w:sz w:val="28"/>
          <w:szCs w:val="28"/>
        </w:rPr>
        <w:t>Dňa 8.</w:t>
      </w:r>
      <w:r w:rsidR="00177077">
        <w:rPr>
          <w:rFonts w:ascii="Cambria" w:hAnsi="Cambria"/>
          <w:color w:val="auto"/>
          <w:sz w:val="28"/>
          <w:szCs w:val="28"/>
        </w:rPr>
        <w:t xml:space="preserve"> </w:t>
      </w:r>
      <w:r w:rsidRPr="00F0732E">
        <w:rPr>
          <w:rFonts w:ascii="Cambria" w:hAnsi="Cambria"/>
          <w:color w:val="auto"/>
          <w:sz w:val="28"/>
          <w:szCs w:val="28"/>
        </w:rPr>
        <w:t>10.</w:t>
      </w:r>
      <w:r w:rsidR="00177077">
        <w:rPr>
          <w:rFonts w:ascii="Cambria" w:hAnsi="Cambria"/>
          <w:color w:val="auto"/>
          <w:sz w:val="28"/>
          <w:szCs w:val="28"/>
        </w:rPr>
        <w:t xml:space="preserve"> </w:t>
      </w:r>
      <w:r w:rsidRPr="00F0732E">
        <w:rPr>
          <w:rFonts w:ascii="Cambria" w:hAnsi="Cambria"/>
          <w:color w:val="auto"/>
          <w:sz w:val="28"/>
          <w:szCs w:val="28"/>
        </w:rPr>
        <w:t xml:space="preserve">2014 získala KSP na konferencii NITT 2014 – Transfer technológií na Slovensku a v zahraničí cenu v kategórii </w:t>
      </w:r>
      <w:r w:rsidRPr="00F0732E">
        <w:rPr>
          <w:rFonts w:ascii="Cambria" w:hAnsi="Cambria"/>
          <w:b/>
          <w:color w:val="auto"/>
          <w:sz w:val="28"/>
          <w:szCs w:val="28"/>
        </w:rPr>
        <w:t xml:space="preserve">„Najlepšie realizovaný transfer technológií“ za technológiu Prísada na zvýšenie cetánového čísla dieselových palív alebo biodieselových palív a jej použitie. </w:t>
      </w:r>
      <w:r w:rsidRPr="00F0732E">
        <w:rPr>
          <w:rFonts w:ascii="Cambria" w:hAnsi="Cambria"/>
          <w:color w:val="auto"/>
          <w:sz w:val="28"/>
          <w:szCs w:val="28"/>
        </w:rPr>
        <w:t xml:space="preserve">Pôvodcami technológie sú doc. </w:t>
      </w:r>
      <w:r w:rsidRPr="00F0732E">
        <w:rPr>
          <w:rFonts w:ascii="Cambria" w:hAnsi="Cambria"/>
          <w:color w:val="auto"/>
          <w:sz w:val="28"/>
          <w:szCs w:val="28"/>
        </w:rPr>
        <w:lastRenderedPageBreak/>
        <w:t>Ing. Pavol Daučík, PhD., doc. Ing. Elena Hájeková, PhD., Ing. Lukáš Bučinský, PhD., Mgr. Marcela Hadvinová a Ing. Tibor Jakubík, CSc. Víťaz získal možnosť zúčastniť sa a prezentovať svoju technológiu na medzinárodnom veľtrhu iENA (30. 10. 2014 – 2. 11. 2014) v Norimberku (SRN) so zameraním na inovatívne technológie.</w:t>
      </w:r>
    </w:p>
    <w:p w:rsidR="00B51749" w:rsidRPr="00F0732E" w:rsidRDefault="00B51749" w:rsidP="00B51749">
      <w:pPr>
        <w:pStyle w:val="snormalny"/>
        <w:spacing w:line="240" w:lineRule="auto"/>
        <w:jc w:val="both"/>
        <w:rPr>
          <w:rFonts w:ascii="Cambria" w:hAnsi="Cambria"/>
          <w:color w:val="auto"/>
          <w:sz w:val="28"/>
          <w:szCs w:val="28"/>
        </w:rPr>
      </w:pPr>
      <w:r w:rsidRPr="00F0732E">
        <w:rPr>
          <w:rFonts w:ascii="Cambria" w:hAnsi="Cambria"/>
          <w:color w:val="auto"/>
          <w:sz w:val="28"/>
          <w:szCs w:val="28"/>
        </w:rPr>
        <w:t>V roku 2014 boli zapísané v registroch ÚPV SR nasledovné patenty a úžitkové vzory vo vlastníctve STU:</w:t>
      </w:r>
    </w:p>
    <w:p w:rsidR="00B51749" w:rsidRPr="00F0732E" w:rsidRDefault="00B51749" w:rsidP="00B51749">
      <w:pPr>
        <w:pStyle w:val="snormalny"/>
        <w:numPr>
          <w:ilvl w:val="0"/>
          <w:numId w:val="32"/>
        </w:numPr>
        <w:spacing w:line="240" w:lineRule="auto"/>
        <w:jc w:val="both"/>
        <w:rPr>
          <w:rFonts w:ascii="Cambria" w:hAnsi="Cambria"/>
          <w:color w:val="auto"/>
          <w:sz w:val="28"/>
          <w:szCs w:val="28"/>
        </w:rPr>
      </w:pPr>
      <w:r w:rsidRPr="00F0732E">
        <w:rPr>
          <w:rFonts w:ascii="Cambria" w:hAnsi="Cambria"/>
          <w:color w:val="auto"/>
          <w:sz w:val="28"/>
          <w:szCs w:val="28"/>
        </w:rPr>
        <w:t xml:space="preserve">Patent </w:t>
      </w:r>
      <w:r w:rsidRPr="00F0732E">
        <w:rPr>
          <w:rFonts w:ascii="Cambria" w:hAnsi="Cambria"/>
          <w:b/>
          <w:color w:val="auto"/>
          <w:sz w:val="28"/>
          <w:szCs w:val="28"/>
        </w:rPr>
        <w:t>P 288168</w:t>
      </w:r>
      <w:r w:rsidRPr="00F0732E">
        <w:rPr>
          <w:rFonts w:ascii="Cambria" w:hAnsi="Cambria"/>
          <w:color w:val="auto"/>
          <w:sz w:val="28"/>
          <w:szCs w:val="28"/>
        </w:rPr>
        <w:t xml:space="preserve"> (Vestník 03/2014), </w:t>
      </w:r>
      <w:r w:rsidRPr="00F0732E">
        <w:rPr>
          <w:rFonts w:ascii="Cambria" w:hAnsi="Cambria"/>
          <w:i/>
          <w:color w:val="auto"/>
          <w:sz w:val="28"/>
          <w:szCs w:val="28"/>
        </w:rPr>
        <w:t>Variabilný piest zhutňovacieho stroja</w:t>
      </w:r>
      <w:r w:rsidRPr="00F0732E">
        <w:rPr>
          <w:rFonts w:ascii="Cambria" w:hAnsi="Cambria"/>
          <w:color w:val="auto"/>
          <w:sz w:val="28"/>
          <w:szCs w:val="28"/>
        </w:rPr>
        <w:t>, pôvodcovia: prof. Ing. Ľubomír Šooš, PhD.; Ing. Peter Križan, PhD.</w:t>
      </w:r>
    </w:p>
    <w:p w:rsidR="00B51749" w:rsidRPr="00F0732E" w:rsidRDefault="00B51749" w:rsidP="00B51749">
      <w:pPr>
        <w:pStyle w:val="snormalny"/>
        <w:numPr>
          <w:ilvl w:val="0"/>
          <w:numId w:val="32"/>
        </w:numPr>
        <w:spacing w:line="240" w:lineRule="auto"/>
        <w:jc w:val="both"/>
        <w:rPr>
          <w:rFonts w:ascii="Cambria" w:hAnsi="Cambria"/>
          <w:color w:val="auto"/>
          <w:sz w:val="28"/>
          <w:szCs w:val="28"/>
        </w:rPr>
      </w:pPr>
      <w:r w:rsidRPr="00F0732E">
        <w:rPr>
          <w:rFonts w:ascii="Cambria" w:hAnsi="Cambria"/>
          <w:color w:val="auto"/>
          <w:sz w:val="28"/>
          <w:szCs w:val="28"/>
        </w:rPr>
        <w:t xml:space="preserve">Patent </w:t>
      </w:r>
      <w:r w:rsidRPr="00F0732E">
        <w:rPr>
          <w:rFonts w:ascii="Cambria" w:hAnsi="Cambria"/>
          <w:b/>
          <w:color w:val="auto"/>
          <w:sz w:val="28"/>
          <w:szCs w:val="28"/>
        </w:rPr>
        <w:t>P 288169</w:t>
      </w:r>
      <w:r w:rsidRPr="00F0732E">
        <w:rPr>
          <w:rFonts w:ascii="Cambria" w:hAnsi="Cambria"/>
          <w:color w:val="auto"/>
          <w:sz w:val="28"/>
          <w:szCs w:val="28"/>
        </w:rPr>
        <w:t xml:space="preserve"> (Vestník 03/2014), </w:t>
      </w:r>
      <w:r w:rsidRPr="00F0732E">
        <w:rPr>
          <w:rFonts w:ascii="Cambria" w:hAnsi="Cambria"/>
          <w:i/>
          <w:color w:val="auto"/>
          <w:sz w:val="28"/>
          <w:szCs w:val="28"/>
        </w:rPr>
        <w:t>Spôsob viacstupňového zhutňovania surovín so zvýšenou vlhkosťou a zariadenie na vykonávanie tohto spôsobu</w:t>
      </w:r>
      <w:r w:rsidRPr="00F0732E">
        <w:rPr>
          <w:rFonts w:ascii="Cambria" w:hAnsi="Cambria"/>
          <w:color w:val="auto"/>
          <w:sz w:val="28"/>
          <w:szCs w:val="28"/>
        </w:rPr>
        <w:t>, pôvodcovia: prof. Ing. Ľubomír Šooš, PhD.; Ing. Miloš Matúš</w:t>
      </w:r>
    </w:p>
    <w:p w:rsidR="00B51749" w:rsidRPr="00F0732E" w:rsidRDefault="00B51749" w:rsidP="00B51749">
      <w:pPr>
        <w:pStyle w:val="snormalny"/>
        <w:numPr>
          <w:ilvl w:val="0"/>
          <w:numId w:val="32"/>
        </w:numPr>
        <w:spacing w:line="240" w:lineRule="auto"/>
        <w:jc w:val="both"/>
        <w:rPr>
          <w:rFonts w:ascii="Cambria" w:hAnsi="Cambria"/>
          <w:color w:val="auto"/>
          <w:sz w:val="28"/>
          <w:szCs w:val="28"/>
        </w:rPr>
      </w:pPr>
      <w:r w:rsidRPr="00F0732E">
        <w:rPr>
          <w:rFonts w:ascii="Cambria" w:hAnsi="Cambria"/>
          <w:color w:val="auto"/>
          <w:sz w:val="28"/>
          <w:szCs w:val="28"/>
        </w:rPr>
        <w:t xml:space="preserve">Patent </w:t>
      </w:r>
      <w:r w:rsidRPr="00F0732E">
        <w:rPr>
          <w:rFonts w:ascii="Cambria" w:hAnsi="Cambria"/>
          <w:b/>
          <w:color w:val="auto"/>
          <w:sz w:val="28"/>
          <w:szCs w:val="28"/>
        </w:rPr>
        <w:t>P 288206</w:t>
      </w:r>
      <w:r w:rsidRPr="00F0732E">
        <w:rPr>
          <w:rFonts w:ascii="Cambria" w:hAnsi="Cambria"/>
          <w:color w:val="auto"/>
          <w:sz w:val="28"/>
          <w:szCs w:val="28"/>
        </w:rPr>
        <w:t xml:space="preserve"> (Vestník 07/2014), </w:t>
      </w:r>
      <w:r w:rsidRPr="00F0732E">
        <w:rPr>
          <w:rFonts w:ascii="Cambria" w:hAnsi="Cambria"/>
          <w:i/>
          <w:color w:val="auto"/>
          <w:sz w:val="28"/>
          <w:szCs w:val="28"/>
        </w:rPr>
        <w:t>Závitovka strojových zariadení</w:t>
      </w:r>
      <w:r w:rsidRPr="00F0732E">
        <w:rPr>
          <w:rFonts w:ascii="Cambria" w:hAnsi="Cambria"/>
          <w:color w:val="auto"/>
          <w:sz w:val="28"/>
          <w:szCs w:val="28"/>
        </w:rPr>
        <w:t>, pôvodcovia: Ing. Juraj Ondruška; prof. Ing. Ľubomír Šooš, PhD.; Ing. Peter Križan</w:t>
      </w:r>
    </w:p>
    <w:p w:rsidR="00B51749" w:rsidRPr="00F0732E" w:rsidRDefault="00B51749" w:rsidP="00B51749">
      <w:pPr>
        <w:pStyle w:val="Odsekzoznamu"/>
        <w:numPr>
          <w:ilvl w:val="0"/>
          <w:numId w:val="32"/>
        </w:numPr>
        <w:spacing w:line="240" w:lineRule="auto"/>
        <w:rPr>
          <w:rFonts w:ascii="Cambria" w:eastAsia="Times New Roman" w:hAnsi="Cambria"/>
          <w:sz w:val="28"/>
          <w:szCs w:val="28"/>
          <w:lang w:eastAsia="sk-SK"/>
        </w:rPr>
      </w:pPr>
      <w:r w:rsidRPr="00F0732E">
        <w:rPr>
          <w:rFonts w:ascii="Cambria" w:eastAsia="Times New Roman" w:hAnsi="Cambria"/>
          <w:sz w:val="28"/>
          <w:szCs w:val="28"/>
          <w:lang w:eastAsia="sk-SK"/>
        </w:rPr>
        <w:t xml:space="preserve">Patent </w:t>
      </w:r>
      <w:r w:rsidRPr="00F0732E">
        <w:rPr>
          <w:rFonts w:ascii="Cambria" w:eastAsia="Times New Roman" w:hAnsi="Cambria"/>
          <w:b/>
          <w:sz w:val="28"/>
          <w:szCs w:val="28"/>
          <w:lang w:eastAsia="sk-SK"/>
        </w:rPr>
        <w:t>P 288180</w:t>
      </w:r>
      <w:r w:rsidRPr="00F0732E">
        <w:rPr>
          <w:rFonts w:ascii="Cambria" w:eastAsia="Times New Roman" w:hAnsi="Cambria"/>
          <w:sz w:val="28"/>
          <w:szCs w:val="28"/>
          <w:lang w:eastAsia="sk-SK"/>
        </w:rPr>
        <w:t xml:space="preserve"> (Vestník 04/2014), </w:t>
      </w:r>
      <w:r w:rsidRPr="00F0732E">
        <w:rPr>
          <w:rFonts w:ascii="Cambria" w:eastAsia="Times New Roman" w:hAnsi="Cambria"/>
          <w:i/>
          <w:sz w:val="28"/>
          <w:szCs w:val="28"/>
          <w:lang w:eastAsia="sk-SK"/>
        </w:rPr>
        <w:t>Forma na výrobu skúšobného spájkovaného spoja</w:t>
      </w:r>
      <w:r w:rsidRPr="00F0732E">
        <w:rPr>
          <w:rFonts w:ascii="Cambria" w:eastAsia="Times New Roman" w:hAnsi="Cambria"/>
          <w:sz w:val="28"/>
          <w:szCs w:val="28"/>
          <w:lang w:eastAsia="sk-SK"/>
        </w:rPr>
        <w:t>, pôvodcovia: doc. Ing. Maroš Martinkovič, PhD.; doc. Ing. Roman Koleňák, PhD.</w:t>
      </w:r>
    </w:p>
    <w:p w:rsidR="00B51749" w:rsidRPr="00F0732E" w:rsidRDefault="00B51749" w:rsidP="00B51749">
      <w:pPr>
        <w:pStyle w:val="Odsekzoznamu"/>
        <w:spacing w:line="240" w:lineRule="auto"/>
        <w:ind w:left="360"/>
        <w:rPr>
          <w:rFonts w:ascii="Cambria" w:eastAsia="Times New Roman" w:hAnsi="Cambria"/>
          <w:sz w:val="28"/>
          <w:szCs w:val="28"/>
          <w:lang w:eastAsia="sk-SK"/>
        </w:rPr>
      </w:pPr>
    </w:p>
    <w:p w:rsidR="00B51749" w:rsidRPr="00F0732E" w:rsidRDefault="00B51749" w:rsidP="00B51749">
      <w:pPr>
        <w:pStyle w:val="Odsekzoznamu"/>
        <w:numPr>
          <w:ilvl w:val="0"/>
          <w:numId w:val="32"/>
        </w:numPr>
        <w:spacing w:line="240" w:lineRule="auto"/>
        <w:rPr>
          <w:rFonts w:ascii="Cambria" w:eastAsia="Times New Roman" w:hAnsi="Cambria"/>
          <w:sz w:val="28"/>
          <w:szCs w:val="28"/>
          <w:lang w:eastAsia="sk-SK"/>
        </w:rPr>
      </w:pPr>
      <w:r w:rsidRPr="00F0732E">
        <w:rPr>
          <w:rFonts w:ascii="Cambria" w:eastAsia="Times New Roman" w:hAnsi="Cambria"/>
          <w:sz w:val="28"/>
          <w:szCs w:val="28"/>
          <w:lang w:eastAsia="sk-SK"/>
        </w:rPr>
        <w:t xml:space="preserve">Patent </w:t>
      </w:r>
      <w:r w:rsidRPr="00F0732E">
        <w:rPr>
          <w:rFonts w:ascii="Cambria" w:eastAsia="Times New Roman" w:hAnsi="Cambria"/>
          <w:b/>
          <w:sz w:val="28"/>
          <w:szCs w:val="28"/>
          <w:lang w:eastAsia="sk-SK"/>
        </w:rPr>
        <w:t>P 288211</w:t>
      </w:r>
      <w:r w:rsidRPr="00F0732E">
        <w:rPr>
          <w:rFonts w:ascii="Cambria" w:eastAsia="Times New Roman" w:hAnsi="Cambria"/>
          <w:sz w:val="28"/>
          <w:szCs w:val="28"/>
          <w:lang w:eastAsia="sk-SK"/>
        </w:rPr>
        <w:t xml:space="preserve"> (Vestník 07/2014), </w:t>
      </w:r>
      <w:r w:rsidRPr="00F0732E">
        <w:rPr>
          <w:rFonts w:ascii="Cambria" w:eastAsia="Times New Roman" w:hAnsi="Cambria"/>
          <w:i/>
          <w:sz w:val="28"/>
          <w:szCs w:val="28"/>
          <w:lang w:eastAsia="sk-SK"/>
        </w:rPr>
        <w:t>Automatické bezkontaktné meranie polohy antropometrických bodov</w:t>
      </w:r>
      <w:r w:rsidRPr="00F0732E">
        <w:rPr>
          <w:rFonts w:ascii="Cambria" w:eastAsia="Times New Roman" w:hAnsi="Cambria"/>
          <w:sz w:val="28"/>
          <w:szCs w:val="28"/>
          <w:lang w:eastAsia="sk-SK"/>
        </w:rPr>
        <w:t>, pôvodcovia: Ing. Martin Ondriga; doc. Ing. Pavol Božek, CSc.; Ing. Ľuboš Ondriga</w:t>
      </w:r>
    </w:p>
    <w:p w:rsidR="00B51749" w:rsidRPr="00F0732E" w:rsidRDefault="00B51749" w:rsidP="00B51749">
      <w:pPr>
        <w:pStyle w:val="Odsekzoznamu"/>
        <w:spacing w:line="240" w:lineRule="auto"/>
        <w:ind w:left="360"/>
        <w:rPr>
          <w:rFonts w:ascii="Cambria" w:eastAsia="Times New Roman" w:hAnsi="Cambria"/>
          <w:sz w:val="28"/>
          <w:szCs w:val="28"/>
          <w:lang w:eastAsia="sk-SK"/>
        </w:rPr>
      </w:pPr>
    </w:p>
    <w:p w:rsidR="00B51749" w:rsidRPr="00F0732E" w:rsidRDefault="00B51749" w:rsidP="00B51749">
      <w:pPr>
        <w:pStyle w:val="Odsekzoznamu"/>
        <w:numPr>
          <w:ilvl w:val="0"/>
          <w:numId w:val="32"/>
        </w:numPr>
        <w:spacing w:line="240" w:lineRule="auto"/>
        <w:rPr>
          <w:rFonts w:ascii="Cambria" w:eastAsia="Times New Roman" w:hAnsi="Cambria"/>
          <w:sz w:val="28"/>
          <w:szCs w:val="28"/>
          <w:lang w:eastAsia="sk-SK"/>
        </w:rPr>
      </w:pPr>
      <w:r w:rsidRPr="00F0732E">
        <w:rPr>
          <w:rFonts w:ascii="Cambria" w:eastAsia="Times New Roman" w:hAnsi="Cambria"/>
          <w:sz w:val="28"/>
          <w:szCs w:val="28"/>
          <w:lang w:eastAsia="sk-SK"/>
        </w:rPr>
        <w:t xml:space="preserve">Patent </w:t>
      </w:r>
      <w:r w:rsidRPr="00F0732E">
        <w:rPr>
          <w:rFonts w:ascii="Cambria" w:eastAsia="Times New Roman" w:hAnsi="Cambria"/>
          <w:b/>
          <w:sz w:val="28"/>
          <w:szCs w:val="28"/>
          <w:lang w:eastAsia="sk-SK"/>
        </w:rPr>
        <w:t>P 288224</w:t>
      </w:r>
      <w:r w:rsidRPr="00F0732E">
        <w:rPr>
          <w:rFonts w:ascii="Cambria" w:eastAsia="Times New Roman" w:hAnsi="Cambria"/>
          <w:sz w:val="28"/>
          <w:szCs w:val="28"/>
          <w:lang w:eastAsia="sk-SK"/>
        </w:rPr>
        <w:t xml:space="preserve"> (Vestník 10/2014), </w:t>
      </w:r>
      <w:r w:rsidRPr="00F0732E">
        <w:rPr>
          <w:rFonts w:ascii="Cambria" w:eastAsia="Times New Roman" w:hAnsi="Cambria"/>
          <w:i/>
          <w:sz w:val="28"/>
          <w:szCs w:val="28"/>
          <w:lang w:eastAsia="sk-SK"/>
        </w:rPr>
        <w:t>Systém na automatické meranie a vyhodnocovanie zmeny homogénnosti materiálov v reálnom čase</w:t>
      </w:r>
      <w:r w:rsidRPr="00F0732E">
        <w:rPr>
          <w:rFonts w:ascii="Cambria" w:eastAsia="Times New Roman" w:hAnsi="Cambria"/>
          <w:sz w:val="28"/>
          <w:szCs w:val="28"/>
          <w:lang w:eastAsia="sk-SK"/>
        </w:rPr>
        <w:t>, pôvodcovia: doc. Ing. Pavol Božek, CSc.; doc. Ing. Pavol Tanuška, PhD.; Dr. Kestutis Navickas; Ing. Ľuboš Ondriga</w:t>
      </w:r>
    </w:p>
    <w:p w:rsidR="00B51749" w:rsidRPr="00F0732E" w:rsidRDefault="00B51749" w:rsidP="00B51749">
      <w:pPr>
        <w:pStyle w:val="Odsekzoznamu"/>
        <w:spacing w:line="240" w:lineRule="auto"/>
        <w:ind w:left="360"/>
        <w:rPr>
          <w:rFonts w:ascii="Cambria" w:eastAsia="Times New Roman" w:hAnsi="Cambria"/>
          <w:sz w:val="28"/>
          <w:szCs w:val="28"/>
          <w:lang w:eastAsia="sk-SK"/>
        </w:rPr>
      </w:pPr>
    </w:p>
    <w:p w:rsidR="00B51749" w:rsidRPr="00F0732E" w:rsidRDefault="00B51749" w:rsidP="00B51749">
      <w:pPr>
        <w:pStyle w:val="Odsekzoznamu"/>
        <w:numPr>
          <w:ilvl w:val="0"/>
          <w:numId w:val="32"/>
        </w:numPr>
        <w:spacing w:line="240" w:lineRule="auto"/>
        <w:rPr>
          <w:rFonts w:ascii="Cambria" w:eastAsia="Times New Roman" w:hAnsi="Cambria"/>
          <w:sz w:val="28"/>
          <w:szCs w:val="28"/>
          <w:lang w:eastAsia="sk-SK"/>
        </w:rPr>
      </w:pPr>
      <w:r w:rsidRPr="00F0732E">
        <w:rPr>
          <w:rFonts w:ascii="Cambria" w:eastAsia="Times New Roman" w:hAnsi="Cambria"/>
          <w:sz w:val="28"/>
          <w:szCs w:val="28"/>
          <w:lang w:eastAsia="sk-SK"/>
        </w:rPr>
        <w:t xml:space="preserve">Úžitkový vzor </w:t>
      </w:r>
      <w:r w:rsidRPr="00F0732E">
        <w:rPr>
          <w:rFonts w:ascii="Cambria" w:eastAsia="Times New Roman" w:hAnsi="Cambria"/>
          <w:b/>
          <w:sz w:val="28"/>
          <w:szCs w:val="28"/>
          <w:lang w:eastAsia="sk-SK"/>
        </w:rPr>
        <w:t>ÚV 6960</w:t>
      </w:r>
      <w:r w:rsidRPr="00F0732E">
        <w:rPr>
          <w:rFonts w:ascii="Cambria" w:eastAsia="Times New Roman" w:hAnsi="Cambria"/>
          <w:sz w:val="28"/>
          <w:szCs w:val="28"/>
          <w:lang w:eastAsia="sk-SK"/>
        </w:rPr>
        <w:t xml:space="preserve"> (Vestník 11/2014), </w:t>
      </w:r>
      <w:r w:rsidRPr="00F0732E">
        <w:rPr>
          <w:rFonts w:ascii="Cambria" w:eastAsia="Times New Roman" w:hAnsi="Cambria"/>
          <w:i/>
          <w:sz w:val="28"/>
          <w:szCs w:val="28"/>
          <w:lang w:eastAsia="sk-SK"/>
        </w:rPr>
        <w:t>Spôsob a zariadenie na spracovanie kvapalných organických látok v prostredí superkritickej vody</w:t>
      </w:r>
      <w:r w:rsidRPr="00F0732E">
        <w:rPr>
          <w:rFonts w:ascii="Cambria" w:eastAsia="Times New Roman" w:hAnsi="Cambria"/>
          <w:sz w:val="28"/>
          <w:szCs w:val="28"/>
          <w:lang w:eastAsia="sk-SK"/>
        </w:rPr>
        <w:t>, pôvodcovia: Ing. Matúš Gajdoš; prof. Ing. Michal Varchola, CSc.</w:t>
      </w:r>
    </w:p>
    <w:p w:rsidR="00B51749" w:rsidRPr="00F0732E" w:rsidRDefault="00B51749" w:rsidP="00B51749">
      <w:pPr>
        <w:pStyle w:val="Odsekzoznamu"/>
        <w:spacing w:line="240" w:lineRule="auto"/>
        <w:ind w:left="360"/>
        <w:rPr>
          <w:rFonts w:ascii="Cambria" w:eastAsia="Times New Roman" w:hAnsi="Cambria"/>
          <w:sz w:val="28"/>
          <w:szCs w:val="28"/>
          <w:lang w:eastAsia="sk-SK"/>
        </w:rPr>
      </w:pPr>
    </w:p>
    <w:p w:rsidR="00B51749" w:rsidRPr="00F0732E" w:rsidRDefault="00B51749" w:rsidP="00B51749">
      <w:pPr>
        <w:pStyle w:val="Odsekzoznamu"/>
        <w:numPr>
          <w:ilvl w:val="0"/>
          <w:numId w:val="32"/>
        </w:numPr>
        <w:spacing w:line="240" w:lineRule="auto"/>
        <w:rPr>
          <w:rFonts w:ascii="Cambria" w:hAnsi="Cambria"/>
          <w:sz w:val="28"/>
          <w:szCs w:val="28"/>
        </w:rPr>
      </w:pPr>
      <w:r w:rsidRPr="00F0732E">
        <w:rPr>
          <w:rFonts w:ascii="Cambria" w:eastAsia="Times New Roman" w:hAnsi="Cambria"/>
          <w:sz w:val="28"/>
          <w:szCs w:val="28"/>
          <w:lang w:eastAsia="sk-SK"/>
        </w:rPr>
        <w:t xml:space="preserve">Úžitkový vzor </w:t>
      </w:r>
      <w:r w:rsidRPr="00F0732E">
        <w:rPr>
          <w:rFonts w:ascii="Cambria" w:eastAsia="Times New Roman" w:hAnsi="Cambria"/>
          <w:b/>
          <w:sz w:val="28"/>
          <w:szCs w:val="28"/>
          <w:lang w:eastAsia="sk-SK"/>
        </w:rPr>
        <w:t>ÚV 6835</w:t>
      </w:r>
      <w:r w:rsidRPr="00F0732E">
        <w:rPr>
          <w:rFonts w:ascii="Cambria" w:eastAsia="Times New Roman" w:hAnsi="Cambria"/>
          <w:sz w:val="28"/>
          <w:szCs w:val="28"/>
          <w:lang w:eastAsia="sk-SK"/>
        </w:rPr>
        <w:t xml:space="preserve"> (Vestník 07/2014), </w:t>
      </w:r>
      <w:r w:rsidRPr="00F0732E">
        <w:rPr>
          <w:rFonts w:ascii="Cambria" w:eastAsia="Times New Roman" w:hAnsi="Cambria"/>
          <w:i/>
          <w:sz w:val="28"/>
          <w:szCs w:val="28"/>
          <w:lang w:eastAsia="sk-SK"/>
        </w:rPr>
        <w:t>Konštrukčná zostava prvkov protipovodňových mobilných modulárnych zábran</w:t>
      </w:r>
      <w:r w:rsidRPr="00F0732E">
        <w:rPr>
          <w:rFonts w:ascii="Cambria" w:eastAsia="Times New Roman" w:hAnsi="Cambria"/>
          <w:sz w:val="28"/>
          <w:szCs w:val="28"/>
          <w:lang w:eastAsia="sk-SK"/>
        </w:rPr>
        <w:t xml:space="preserve">, </w:t>
      </w:r>
      <w:r w:rsidRPr="00F0732E">
        <w:rPr>
          <w:rFonts w:ascii="Cambria" w:eastAsia="Times New Roman" w:hAnsi="Cambria"/>
          <w:sz w:val="28"/>
          <w:szCs w:val="28"/>
          <w:lang w:eastAsia="sk-SK"/>
        </w:rPr>
        <w:lastRenderedPageBreak/>
        <w:t>pôvodcovia: prof. Ing. Ľubomír Šooš, PhD.; doc. Ing. Karol Prikkel, CSc.; Ing. Juraj Ondruška; Ing. Július Frkáň; Ing. Peter Biath; Ing. Viliam Čačko</w:t>
      </w:r>
    </w:p>
    <w:p w:rsidR="00B51749" w:rsidRPr="00F0732E" w:rsidRDefault="00B51749" w:rsidP="00B51749">
      <w:pPr>
        <w:pStyle w:val="Odsekzoznamu"/>
        <w:spacing w:line="240" w:lineRule="auto"/>
        <w:ind w:left="360"/>
        <w:rPr>
          <w:rFonts w:ascii="Cambria" w:hAnsi="Cambria"/>
          <w:sz w:val="28"/>
          <w:szCs w:val="28"/>
        </w:rPr>
      </w:pPr>
    </w:p>
    <w:p w:rsidR="00B51749" w:rsidRPr="00F0732E" w:rsidRDefault="00B51749" w:rsidP="00B51749">
      <w:pPr>
        <w:pStyle w:val="Odsekzoznamu"/>
        <w:numPr>
          <w:ilvl w:val="0"/>
          <w:numId w:val="32"/>
        </w:numPr>
        <w:spacing w:line="240" w:lineRule="auto"/>
        <w:rPr>
          <w:rFonts w:ascii="Cambria" w:hAnsi="Cambria"/>
          <w:sz w:val="28"/>
          <w:szCs w:val="28"/>
        </w:rPr>
      </w:pPr>
      <w:r w:rsidRPr="00F0732E">
        <w:rPr>
          <w:rFonts w:ascii="Cambria" w:eastAsia="Times New Roman" w:hAnsi="Cambria"/>
          <w:sz w:val="28"/>
          <w:szCs w:val="28"/>
          <w:lang w:eastAsia="sk-SK"/>
        </w:rPr>
        <w:t xml:space="preserve">Úžitkový vzor </w:t>
      </w:r>
      <w:r w:rsidRPr="00F0732E">
        <w:rPr>
          <w:rFonts w:ascii="Cambria" w:hAnsi="Cambria"/>
          <w:b/>
          <w:sz w:val="28"/>
          <w:szCs w:val="28"/>
        </w:rPr>
        <w:t>ÚV 6727</w:t>
      </w:r>
      <w:r w:rsidRPr="00F0732E">
        <w:rPr>
          <w:rFonts w:ascii="Cambria" w:hAnsi="Cambria"/>
          <w:sz w:val="28"/>
          <w:szCs w:val="28"/>
        </w:rPr>
        <w:t xml:space="preserve"> (Vestník 04/2014), </w:t>
      </w:r>
      <w:r w:rsidRPr="00F0732E">
        <w:rPr>
          <w:rFonts w:ascii="Cambria" w:hAnsi="Cambria"/>
          <w:i/>
          <w:sz w:val="28"/>
          <w:szCs w:val="28"/>
        </w:rPr>
        <w:t>Lis na pelety</w:t>
      </w:r>
      <w:r w:rsidRPr="00F0732E">
        <w:rPr>
          <w:rFonts w:ascii="Cambria" w:hAnsi="Cambria"/>
          <w:sz w:val="28"/>
          <w:szCs w:val="28"/>
        </w:rPr>
        <w:t>, pôvodcovia: prof. Ing. Ľubomír Šooš, PhD.; Ing. Juraj Ondruška; Ing. Peter Biath; Ing. Miloš Matúš; prof. Ing. Jiří Zegzulka, CSc.</w:t>
      </w:r>
    </w:p>
    <w:p w:rsidR="00B51749" w:rsidRPr="00F0732E" w:rsidRDefault="00B51749" w:rsidP="00B51749">
      <w:pPr>
        <w:pStyle w:val="Odsekzoznamu"/>
        <w:spacing w:line="240" w:lineRule="auto"/>
        <w:ind w:left="360"/>
        <w:rPr>
          <w:rFonts w:ascii="Cambria" w:hAnsi="Cambria"/>
          <w:sz w:val="28"/>
          <w:szCs w:val="28"/>
        </w:rPr>
      </w:pPr>
    </w:p>
    <w:p w:rsidR="00B51749" w:rsidRPr="00F0732E" w:rsidRDefault="00B51749" w:rsidP="00B51749">
      <w:pPr>
        <w:pStyle w:val="Odsekzoznamu"/>
        <w:numPr>
          <w:ilvl w:val="0"/>
          <w:numId w:val="32"/>
        </w:numPr>
        <w:spacing w:line="240" w:lineRule="auto"/>
        <w:rPr>
          <w:rFonts w:ascii="Cambria" w:hAnsi="Cambria"/>
          <w:sz w:val="28"/>
          <w:szCs w:val="28"/>
        </w:rPr>
      </w:pPr>
      <w:r w:rsidRPr="00F0732E">
        <w:rPr>
          <w:rFonts w:ascii="Cambria" w:eastAsia="Times New Roman" w:hAnsi="Cambria"/>
          <w:sz w:val="28"/>
          <w:szCs w:val="28"/>
          <w:lang w:eastAsia="sk-SK"/>
        </w:rPr>
        <w:t xml:space="preserve">Úžitkový vzor </w:t>
      </w:r>
      <w:r w:rsidRPr="00F0732E">
        <w:rPr>
          <w:rFonts w:ascii="Cambria" w:hAnsi="Cambria"/>
          <w:b/>
          <w:sz w:val="28"/>
          <w:szCs w:val="28"/>
        </w:rPr>
        <w:t>ÚV 6737</w:t>
      </w:r>
      <w:r w:rsidRPr="00F0732E">
        <w:rPr>
          <w:rFonts w:ascii="Cambria" w:hAnsi="Cambria"/>
          <w:sz w:val="28"/>
          <w:szCs w:val="28"/>
        </w:rPr>
        <w:t xml:space="preserve"> (Vestník 04/2014), </w:t>
      </w:r>
      <w:r w:rsidRPr="00F0732E">
        <w:rPr>
          <w:rFonts w:ascii="Cambria" w:hAnsi="Cambria"/>
          <w:i/>
          <w:sz w:val="28"/>
          <w:szCs w:val="28"/>
        </w:rPr>
        <w:t>Optické skenovacie zariadenie vertikálnych deformácií chrbtice</w:t>
      </w:r>
      <w:r w:rsidRPr="00F0732E">
        <w:rPr>
          <w:rFonts w:ascii="Cambria" w:hAnsi="Cambria"/>
          <w:sz w:val="28"/>
          <w:szCs w:val="28"/>
        </w:rPr>
        <w:t>, pôvodcovia: Ing. František Horvát; Ing. Igor Palica; Ing. Lukáš Šoltés; Ing. Michal Čekan, PhD.; doc. Ing. Branislav Hučko, PhD.</w:t>
      </w:r>
    </w:p>
    <w:p w:rsidR="00B51749" w:rsidRPr="00F0732E" w:rsidRDefault="00B51749" w:rsidP="00B51749">
      <w:pPr>
        <w:pStyle w:val="Odsekzoznamu"/>
        <w:spacing w:line="240" w:lineRule="auto"/>
        <w:ind w:left="360"/>
        <w:rPr>
          <w:rFonts w:ascii="Cambria" w:hAnsi="Cambria"/>
          <w:sz w:val="28"/>
          <w:szCs w:val="28"/>
        </w:rPr>
      </w:pPr>
    </w:p>
    <w:p w:rsidR="00B51749" w:rsidRPr="00F0732E" w:rsidRDefault="00B51749" w:rsidP="00B51749">
      <w:pPr>
        <w:pStyle w:val="Odsekzoznamu"/>
        <w:numPr>
          <w:ilvl w:val="0"/>
          <w:numId w:val="32"/>
        </w:numPr>
        <w:spacing w:line="240" w:lineRule="auto"/>
        <w:rPr>
          <w:rFonts w:ascii="Cambria" w:hAnsi="Cambria"/>
          <w:sz w:val="28"/>
          <w:szCs w:val="28"/>
        </w:rPr>
      </w:pPr>
      <w:r w:rsidRPr="00F0732E">
        <w:rPr>
          <w:rFonts w:ascii="Cambria" w:eastAsia="Times New Roman" w:hAnsi="Cambria"/>
          <w:sz w:val="28"/>
          <w:szCs w:val="28"/>
          <w:lang w:eastAsia="sk-SK"/>
        </w:rPr>
        <w:t xml:space="preserve">Úžitkový vzor </w:t>
      </w:r>
      <w:r w:rsidRPr="00F0732E">
        <w:rPr>
          <w:rFonts w:ascii="Cambria" w:hAnsi="Cambria"/>
          <w:b/>
          <w:sz w:val="28"/>
          <w:szCs w:val="28"/>
        </w:rPr>
        <w:t>ÚV 6821</w:t>
      </w:r>
      <w:r w:rsidRPr="00F0732E">
        <w:rPr>
          <w:rFonts w:ascii="Cambria" w:hAnsi="Cambria"/>
          <w:sz w:val="28"/>
          <w:szCs w:val="28"/>
        </w:rPr>
        <w:t xml:space="preserve"> (Vestník 07/2014), </w:t>
      </w:r>
      <w:r w:rsidRPr="00F0732E">
        <w:rPr>
          <w:rFonts w:ascii="Cambria" w:hAnsi="Cambria"/>
          <w:i/>
          <w:sz w:val="28"/>
          <w:szCs w:val="28"/>
        </w:rPr>
        <w:t>Spôsob stanovenia minimálnej hrúbky tvrdenej vrstvy zuba konvexno-konkávneho ozubenia</w:t>
      </w:r>
      <w:r w:rsidRPr="00F0732E">
        <w:rPr>
          <w:rFonts w:ascii="Cambria" w:hAnsi="Cambria"/>
          <w:sz w:val="28"/>
          <w:szCs w:val="28"/>
        </w:rPr>
        <w:t>, pôvodcovia: prof. Ing. Miroslav Bošanský, PhD.; Ing. Pavol Tököly Pavol, PhD.; Ing. Jozef Bucha, PhD.</w:t>
      </w:r>
    </w:p>
    <w:p w:rsidR="00B51749" w:rsidRPr="00F0732E" w:rsidRDefault="00B51749" w:rsidP="00B51749">
      <w:pPr>
        <w:pStyle w:val="Odsekzoznamu"/>
        <w:spacing w:line="240" w:lineRule="auto"/>
        <w:ind w:left="360"/>
        <w:rPr>
          <w:rFonts w:ascii="Cambria" w:hAnsi="Cambria"/>
          <w:sz w:val="28"/>
          <w:szCs w:val="28"/>
        </w:rPr>
      </w:pPr>
    </w:p>
    <w:p w:rsidR="00B51749" w:rsidRPr="00F0732E" w:rsidRDefault="00B51749" w:rsidP="00B51749">
      <w:pPr>
        <w:pStyle w:val="Odsekzoznamu"/>
        <w:numPr>
          <w:ilvl w:val="0"/>
          <w:numId w:val="32"/>
        </w:numPr>
        <w:spacing w:line="240" w:lineRule="auto"/>
        <w:rPr>
          <w:rFonts w:ascii="Cambria" w:hAnsi="Cambria"/>
          <w:sz w:val="28"/>
          <w:szCs w:val="28"/>
        </w:rPr>
      </w:pPr>
      <w:r w:rsidRPr="00F0732E">
        <w:rPr>
          <w:rFonts w:ascii="Cambria" w:eastAsia="Times New Roman" w:hAnsi="Cambria"/>
          <w:sz w:val="28"/>
          <w:szCs w:val="28"/>
          <w:lang w:eastAsia="sk-SK"/>
        </w:rPr>
        <w:t xml:space="preserve">Úžitkový vzor </w:t>
      </w:r>
      <w:r w:rsidRPr="00F0732E">
        <w:rPr>
          <w:rFonts w:ascii="Cambria" w:hAnsi="Cambria"/>
          <w:b/>
          <w:sz w:val="28"/>
          <w:szCs w:val="28"/>
        </w:rPr>
        <w:t>ÚV 6760</w:t>
      </w:r>
      <w:r w:rsidRPr="00F0732E">
        <w:rPr>
          <w:rFonts w:ascii="Cambria" w:hAnsi="Cambria"/>
          <w:sz w:val="28"/>
          <w:szCs w:val="28"/>
        </w:rPr>
        <w:t xml:space="preserve"> (Vestník 05/2014), </w:t>
      </w:r>
      <w:r w:rsidRPr="00F0732E">
        <w:rPr>
          <w:rFonts w:ascii="Cambria" w:hAnsi="Cambria"/>
          <w:i/>
          <w:sz w:val="28"/>
          <w:szCs w:val="28"/>
        </w:rPr>
        <w:t>Makrofotografická metóda na hodnotenie poškodenia zubov z hľadiska poškodenia boku zuba opotrebením, vytrhávaním okolitého materiálu v tvare jamiek</w:t>
      </w:r>
      <w:r w:rsidRPr="00F0732E">
        <w:rPr>
          <w:rFonts w:ascii="Cambria" w:hAnsi="Cambria"/>
          <w:sz w:val="28"/>
          <w:szCs w:val="28"/>
        </w:rPr>
        <w:t>, pôvodcovia: prof. Ing. Miroslav Bošanský, PhD.; Ing. Beáta Kopiláková; Ing. Ján Zápotočný</w:t>
      </w:r>
    </w:p>
    <w:p w:rsidR="00B51749" w:rsidRPr="00F0732E" w:rsidRDefault="00B51749" w:rsidP="00B51749">
      <w:pPr>
        <w:rPr>
          <w:sz w:val="28"/>
          <w:szCs w:val="28"/>
        </w:rPr>
      </w:pPr>
      <w:r w:rsidRPr="00F0732E">
        <w:rPr>
          <w:sz w:val="28"/>
          <w:szCs w:val="28"/>
        </w:rPr>
        <w:t>V roku 2014 sa uskutočnili aj prevody vlastníctva patentu a úžitkových vzorov z fyzickej osoby do vlastníctva STU:</w:t>
      </w:r>
    </w:p>
    <w:p w:rsidR="00B51749" w:rsidRPr="00F0732E" w:rsidRDefault="00B51749" w:rsidP="00B51749">
      <w:pPr>
        <w:pStyle w:val="Odsekzoznamu"/>
        <w:numPr>
          <w:ilvl w:val="0"/>
          <w:numId w:val="33"/>
        </w:numPr>
        <w:spacing w:line="240" w:lineRule="auto"/>
        <w:rPr>
          <w:rFonts w:ascii="Cambria" w:hAnsi="Cambria"/>
          <w:sz w:val="28"/>
          <w:szCs w:val="28"/>
        </w:rPr>
      </w:pPr>
      <w:r w:rsidRPr="00F0732E">
        <w:rPr>
          <w:rFonts w:ascii="Cambria" w:hAnsi="Cambria"/>
          <w:b/>
          <w:sz w:val="28"/>
          <w:szCs w:val="28"/>
        </w:rPr>
        <w:t>P 288075</w:t>
      </w:r>
      <w:r w:rsidRPr="00F0732E">
        <w:rPr>
          <w:rFonts w:ascii="Cambria" w:hAnsi="Cambria"/>
          <w:sz w:val="28"/>
          <w:szCs w:val="28"/>
        </w:rPr>
        <w:t xml:space="preserve">, </w:t>
      </w:r>
      <w:r w:rsidRPr="00F0732E">
        <w:rPr>
          <w:rFonts w:ascii="Cambria" w:hAnsi="Cambria"/>
          <w:i/>
          <w:sz w:val="28"/>
          <w:szCs w:val="28"/>
        </w:rPr>
        <w:t>Trojkomorový splynovač</w:t>
      </w:r>
      <w:r w:rsidRPr="00F0732E">
        <w:rPr>
          <w:rFonts w:ascii="Cambria" w:hAnsi="Cambria"/>
          <w:sz w:val="28"/>
          <w:szCs w:val="28"/>
        </w:rPr>
        <w:t>, pôvodca: Ing. Albín Štofila, CSc.</w:t>
      </w:r>
    </w:p>
    <w:p w:rsidR="00B51749" w:rsidRPr="00F0732E" w:rsidRDefault="00B51749" w:rsidP="00B51749">
      <w:pPr>
        <w:pStyle w:val="Odsekzoznamu"/>
        <w:numPr>
          <w:ilvl w:val="0"/>
          <w:numId w:val="33"/>
        </w:numPr>
        <w:spacing w:line="240" w:lineRule="auto"/>
        <w:rPr>
          <w:rFonts w:ascii="Cambria" w:hAnsi="Cambria"/>
          <w:sz w:val="28"/>
          <w:szCs w:val="28"/>
        </w:rPr>
      </w:pPr>
      <w:r w:rsidRPr="00F0732E">
        <w:rPr>
          <w:rFonts w:ascii="Cambria" w:hAnsi="Cambria"/>
          <w:b/>
          <w:sz w:val="28"/>
          <w:szCs w:val="28"/>
        </w:rPr>
        <w:t>ÚV 5641</w:t>
      </w:r>
      <w:r w:rsidRPr="00F0732E">
        <w:rPr>
          <w:rFonts w:ascii="Cambria" w:hAnsi="Cambria"/>
          <w:sz w:val="28"/>
          <w:szCs w:val="28"/>
        </w:rPr>
        <w:t xml:space="preserve">, </w:t>
      </w:r>
      <w:r w:rsidRPr="00F0732E">
        <w:rPr>
          <w:rFonts w:ascii="Cambria" w:hAnsi="Cambria"/>
          <w:i/>
          <w:sz w:val="28"/>
          <w:szCs w:val="28"/>
        </w:rPr>
        <w:t>Kryštalizátor plazmovej pece</w:t>
      </w:r>
      <w:r w:rsidRPr="00F0732E">
        <w:rPr>
          <w:rFonts w:ascii="Cambria" w:hAnsi="Cambria"/>
          <w:sz w:val="28"/>
          <w:szCs w:val="28"/>
        </w:rPr>
        <w:t>, pôvodcovia: Ing. Demian Svetozár; doc. Ing. Viliam Hrnčiar, PhD.</w:t>
      </w:r>
    </w:p>
    <w:p w:rsidR="00B51749" w:rsidRPr="00F0732E" w:rsidRDefault="00B51749" w:rsidP="00B51749">
      <w:pPr>
        <w:pStyle w:val="Odsekzoznamu"/>
        <w:numPr>
          <w:ilvl w:val="0"/>
          <w:numId w:val="33"/>
        </w:numPr>
        <w:spacing w:line="240" w:lineRule="auto"/>
        <w:rPr>
          <w:rFonts w:ascii="Cambria" w:hAnsi="Cambria"/>
          <w:sz w:val="28"/>
          <w:szCs w:val="28"/>
        </w:rPr>
      </w:pPr>
      <w:r w:rsidRPr="00F0732E">
        <w:rPr>
          <w:rFonts w:ascii="Cambria" w:hAnsi="Cambria"/>
          <w:b/>
          <w:sz w:val="28"/>
          <w:szCs w:val="28"/>
        </w:rPr>
        <w:t>ÚV 5973</w:t>
      </w:r>
      <w:r w:rsidRPr="00F0732E">
        <w:rPr>
          <w:rFonts w:ascii="Cambria" w:hAnsi="Cambria"/>
          <w:sz w:val="28"/>
          <w:szCs w:val="28"/>
        </w:rPr>
        <w:t xml:space="preserve">, </w:t>
      </w:r>
      <w:r w:rsidRPr="00F0732E">
        <w:rPr>
          <w:rFonts w:ascii="Cambria" w:hAnsi="Cambria"/>
          <w:i/>
          <w:sz w:val="28"/>
          <w:szCs w:val="28"/>
        </w:rPr>
        <w:t>Spôsob chladenia fotovoltického článku, zapojenie na chladenie</w:t>
      </w:r>
      <w:r w:rsidRPr="00F0732E">
        <w:rPr>
          <w:rFonts w:ascii="Cambria" w:hAnsi="Cambria"/>
          <w:sz w:val="28"/>
          <w:szCs w:val="28"/>
        </w:rPr>
        <w:t>, pôvodcovia: Ing. Michal Masaryk, PhD.; Ing. Ľuboš Magdolen, PhD.</w:t>
      </w:r>
    </w:p>
    <w:p w:rsidR="00B51749" w:rsidRPr="00F0732E" w:rsidRDefault="00B51749" w:rsidP="00B51749">
      <w:pPr>
        <w:pStyle w:val="Odsekzoznamu"/>
        <w:spacing w:line="240" w:lineRule="auto"/>
        <w:rPr>
          <w:rFonts w:ascii="Cambria" w:hAnsi="Cambria"/>
          <w:sz w:val="28"/>
          <w:szCs w:val="28"/>
        </w:rPr>
      </w:pPr>
    </w:p>
    <w:p w:rsidR="00B51749" w:rsidRPr="00F0732E" w:rsidRDefault="00B51749" w:rsidP="00B51749">
      <w:pPr>
        <w:pStyle w:val="Nadpis3"/>
        <w:rPr>
          <w:rFonts w:ascii="Cambria" w:hAnsi="Cambria"/>
          <w:sz w:val="28"/>
          <w:szCs w:val="28"/>
        </w:rPr>
      </w:pPr>
      <w:bookmarkStart w:id="40" w:name="_Toc413009343"/>
      <w:r w:rsidRPr="00F0732E">
        <w:rPr>
          <w:rFonts w:ascii="Cambria" w:hAnsi="Cambria"/>
          <w:sz w:val="28"/>
          <w:szCs w:val="28"/>
        </w:rPr>
        <w:t>Univerzitný technologický inkubátor</w:t>
      </w:r>
      <w:bookmarkEnd w:id="40"/>
      <w:r w:rsidRPr="00F0732E">
        <w:rPr>
          <w:rFonts w:ascii="Cambria" w:hAnsi="Cambria"/>
          <w:sz w:val="28"/>
          <w:szCs w:val="28"/>
        </w:rPr>
        <w:t xml:space="preserve"> </w:t>
      </w:r>
    </w:p>
    <w:p w:rsidR="00B51749" w:rsidRPr="00F0732E" w:rsidRDefault="00B51749" w:rsidP="00B51749">
      <w:pPr>
        <w:pStyle w:val="Default"/>
        <w:rPr>
          <w:rFonts w:ascii="Cambria" w:hAnsi="Cambria" w:cs="Times New Roman"/>
          <w:color w:val="FF0000"/>
          <w:sz w:val="28"/>
          <w:szCs w:val="28"/>
          <w:lang w:val="sk-SK"/>
        </w:rPr>
      </w:pPr>
    </w:p>
    <w:p w:rsidR="00B51749" w:rsidRPr="00F0732E" w:rsidRDefault="00B51749" w:rsidP="0045282C">
      <w:pPr>
        <w:pStyle w:val="Default"/>
        <w:jc w:val="both"/>
        <w:rPr>
          <w:rFonts w:ascii="Cambria" w:hAnsi="Cambria" w:cs="Times New Roman"/>
          <w:color w:val="auto"/>
          <w:sz w:val="28"/>
          <w:szCs w:val="28"/>
          <w:lang w:val="sk-SK"/>
        </w:rPr>
      </w:pPr>
      <w:r w:rsidRPr="00F0732E">
        <w:rPr>
          <w:rFonts w:ascii="Cambria" w:hAnsi="Cambria" w:cs="Times New Roman"/>
          <w:bCs/>
          <w:color w:val="auto"/>
          <w:sz w:val="28"/>
          <w:szCs w:val="28"/>
          <w:lang w:val="sk-SK"/>
        </w:rPr>
        <w:t>Univerzitný technologický inkubátor (UTI)</w:t>
      </w:r>
      <w:r w:rsidRPr="00F0732E">
        <w:rPr>
          <w:rFonts w:ascii="Cambria" w:hAnsi="Cambria" w:cs="Times New Roman"/>
          <w:color w:val="auto"/>
          <w:sz w:val="28"/>
          <w:szCs w:val="28"/>
          <w:lang w:val="sk-SK"/>
        </w:rPr>
        <w:t xml:space="preserve"> je druhou organizačnou zložkou Kancelárie spolupráce s praxou. Bol zriadený v roku 2005 v súlade s § 39a zákona o vysokých školách vďaka podpore z programu Phare (63 % Phare, zvyšok 37 % zdroje STU). Inkubátor zabezpečuje </w:t>
      </w:r>
      <w:r w:rsidRPr="00F0732E">
        <w:rPr>
          <w:rFonts w:ascii="Cambria" w:hAnsi="Cambria" w:cs="Times New Roman"/>
          <w:color w:val="auto"/>
          <w:sz w:val="28"/>
          <w:szCs w:val="28"/>
          <w:lang w:val="sk-SK"/>
        </w:rPr>
        <w:lastRenderedPageBreak/>
        <w:t xml:space="preserve">služby potrebné </w:t>
      </w:r>
      <w:r w:rsidR="0046643E">
        <w:rPr>
          <w:rFonts w:ascii="Cambria" w:hAnsi="Cambria" w:cs="Times New Roman"/>
          <w:color w:val="auto"/>
          <w:sz w:val="28"/>
          <w:szCs w:val="28"/>
          <w:lang w:val="sk-SK"/>
        </w:rPr>
        <w:t>na</w:t>
      </w:r>
      <w:r w:rsidRPr="00F0732E">
        <w:rPr>
          <w:rFonts w:ascii="Cambria" w:hAnsi="Cambria" w:cs="Times New Roman"/>
          <w:color w:val="auto"/>
          <w:sz w:val="28"/>
          <w:szCs w:val="28"/>
          <w:lang w:val="sk-SK"/>
        </w:rPr>
        <w:t xml:space="preserve"> vznik podnikov a ich rozvoj v prvých etapách existencie. Spolupracuje s poradenskými, vzdelávacími, finančnými a inými inštitúciami podieľajúcimi sa na rozvoji firiem.</w:t>
      </w:r>
    </w:p>
    <w:p w:rsidR="00B51749" w:rsidRPr="00F0732E" w:rsidRDefault="00B51749" w:rsidP="0045282C">
      <w:pPr>
        <w:pStyle w:val="Default"/>
        <w:jc w:val="both"/>
        <w:rPr>
          <w:rFonts w:ascii="Cambria" w:hAnsi="Cambria" w:cs="Times New Roman"/>
          <w:b/>
          <w:color w:val="auto"/>
          <w:sz w:val="28"/>
          <w:szCs w:val="28"/>
          <w:lang w:val="sk-SK"/>
        </w:rPr>
      </w:pPr>
      <w:r w:rsidRPr="00F0732E">
        <w:rPr>
          <w:rFonts w:ascii="Cambria" w:hAnsi="Cambria" w:cs="Times New Roman"/>
          <w:b/>
          <w:color w:val="auto"/>
          <w:sz w:val="28"/>
          <w:szCs w:val="28"/>
          <w:lang w:val="sk-SK"/>
        </w:rPr>
        <w:t xml:space="preserve">Od začiatku pôsobenia </w:t>
      </w:r>
      <w:r w:rsidR="0046643E" w:rsidRPr="00F0732E">
        <w:rPr>
          <w:rFonts w:ascii="Cambria" w:hAnsi="Cambria" w:cs="Times New Roman"/>
          <w:b/>
          <w:color w:val="auto"/>
          <w:sz w:val="28"/>
          <w:szCs w:val="28"/>
          <w:lang w:val="sk-SK"/>
        </w:rPr>
        <w:t xml:space="preserve">inkubátor </w:t>
      </w:r>
      <w:r w:rsidRPr="00F0732E">
        <w:rPr>
          <w:rFonts w:ascii="Cambria" w:hAnsi="Cambria" w:cs="Times New Roman"/>
          <w:b/>
          <w:color w:val="auto"/>
          <w:sz w:val="28"/>
          <w:szCs w:val="28"/>
          <w:lang w:val="sk-SK"/>
        </w:rPr>
        <w:t>podporil vo svojich priestoroch 42 inkubovaných firiem v programe InQb a 24 frekventantov v programe Start-up kancelária.</w:t>
      </w:r>
    </w:p>
    <w:p w:rsidR="00B51749" w:rsidRPr="00F0732E" w:rsidRDefault="00B51749" w:rsidP="00B51749">
      <w:pPr>
        <w:rPr>
          <w:sz w:val="28"/>
          <w:szCs w:val="28"/>
        </w:rPr>
      </w:pPr>
      <w:r w:rsidRPr="00F0732E">
        <w:rPr>
          <w:b/>
          <w:sz w:val="28"/>
          <w:szCs w:val="28"/>
        </w:rPr>
        <w:t>V roku 2014 do celkového počtu podporených firiem pribudli 4 noví frekventanti v Start-up kancelárii</w:t>
      </w:r>
      <w:r w:rsidRPr="00F0732E">
        <w:rPr>
          <w:sz w:val="28"/>
          <w:szCs w:val="28"/>
        </w:rPr>
        <w:t xml:space="preserve">. V priestoroch inkubátora pôsobilo počas roka 8 inkubovaných firiem. Ich zoznam je na stránke </w:t>
      </w:r>
      <w:hyperlink r:id="rId59" w:history="1">
        <w:r w:rsidRPr="00F0732E">
          <w:rPr>
            <w:rStyle w:val="Hypertextovprepojenie"/>
            <w:color w:val="auto"/>
            <w:sz w:val="28"/>
            <w:szCs w:val="28"/>
          </w:rPr>
          <w:t>www.inqb.sk</w:t>
        </w:r>
      </w:hyperlink>
      <w:r w:rsidRPr="00F0732E">
        <w:rPr>
          <w:sz w:val="28"/>
          <w:szCs w:val="28"/>
        </w:rPr>
        <w:t xml:space="preserve"> </w:t>
      </w:r>
    </w:p>
    <w:p w:rsidR="00B51749" w:rsidRPr="00F0732E" w:rsidRDefault="00B51749" w:rsidP="00B51749">
      <w:pPr>
        <w:pStyle w:val="Default"/>
        <w:rPr>
          <w:rFonts w:ascii="Cambria" w:hAnsi="Cambria" w:cs="Times New Roman"/>
          <w:b/>
          <w:color w:val="auto"/>
          <w:sz w:val="28"/>
          <w:szCs w:val="28"/>
          <w:lang w:val="sk-SK"/>
        </w:rPr>
      </w:pP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Program InQb je určený novým firmám, ktoré fungujú nie viac ako 3 roky, pričom musí isť o inovatívne firmy s orientáciou na poskytovanie produktov a služieb v oblasti techniky a technológií. Program Start-up kancelária je určený pre študentov alebo absolventov vysokej školy (univerzity), ktorí si plánujú založiť inovatívnu firmu s orientáciou na poskytovanie produktov a služieb v oblasti techniky a technológií.</w:t>
      </w:r>
    </w:p>
    <w:p w:rsidR="00B51749" w:rsidRPr="00F0732E" w:rsidRDefault="00B51749" w:rsidP="00B51749">
      <w:pPr>
        <w:rPr>
          <w:sz w:val="28"/>
          <w:szCs w:val="28"/>
        </w:rPr>
      </w:pP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Aj v roku 2014 pokračoval inkubátor v organizovaní podujatí pre začínajúcich podnikateľov. Išlo najmä o biznis raňajky s odborníkmi z rôznych oblastí podnikania, semináre o ochrane duševného vlastníctva či deň otvorených dverí.</w:t>
      </w:r>
    </w:p>
    <w:p w:rsidR="00B51749" w:rsidRPr="00F0732E" w:rsidRDefault="00B51749" w:rsidP="00B51749">
      <w:pPr>
        <w:pStyle w:val="Default"/>
        <w:spacing w:before="240"/>
        <w:rPr>
          <w:rFonts w:ascii="Cambria" w:hAnsi="Cambria" w:cs="Times New Roman"/>
          <w:color w:val="auto"/>
          <w:sz w:val="28"/>
          <w:szCs w:val="28"/>
          <w:lang w:val="sk-SK"/>
        </w:rPr>
      </w:pPr>
    </w:p>
    <w:p w:rsidR="00B51749" w:rsidRPr="00F0732E" w:rsidRDefault="00B51749" w:rsidP="00B51749">
      <w:pPr>
        <w:pStyle w:val="Nadpis3"/>
        <w:rPr>
          <w:rFonts w:ascii="Cambria" w:hAnsi="Cambria"/>
          <w:color w:val="auto"/>
          <w:sz w:val="28"/>
          <w:szCs w:val="28"/>
        </w:rPr>
      </w:pPr>
      <w:bookmarkStart w:id="41" w:name="_Toc413009344"/>
      <w:r w:rsidRPr="00F0732E">
        <w:rPr>
          <w:rFonts w:ascii="Cambria" w:hAnsi="Cambria"/>
          <w:color w:val="auto"/>
          <w:sz w:val="28"/>
          <w:szCs w:val="28"/>
        </w:rPr>
        <w:t>STU Scientific</w:t>
      </w:r>
      <w:bookmarkEnd w:id="41"/>
    </w:p>
    <w:p w:rsidR="00B51749" w:rsidRPr="00F0732E" w:rsidRDefault="00B51749" w:rsidP="00B51749">
      <w:pPr>
        <w:pStyle w:val="Normlnywebov"/>
        <w:rPr>
          <w:rFonts w:ascii="Cambria" w:hAnsi="Cambria"/>
          <w:sz w:val="28"/>
          <w:szCs w:val="28"/>
        </w:rPr>
      </w:pPr>
      <w:r w:rsidRPr="00F0732E">
        <w:rPr>
          <w:rFonts w:ascii="Cambria" w:hAnsi="Cambria"/>
          <w:sz w:val="28"/>
          <w:szCs w:val="28"/>
        </w:rPr>
        <w:t xml:space="preserve">Zásadným dôkazom fungujúceho transferu poznatkov z akademickej pôdy do praxe sú inovatívne spin-off spoločnosti s majetkovou účasťou univerzity. Podporu ich zakladania a  </w:t>
      </w:r>
      <w:r w:rsidRPr="00F0732E">
        <w:rPr>
          <w:rFonts w:ascii="Cambria" w:hAnsi="Cambria"/>
          <w:sz w:val="28"/>
          <w:szCs w:val="28"/>
          <w:lang w:eastAsia="sk-SK"/>
        </w:rPr>
        <w:t xml:space="preserve">ekonomické zhodnocovanie duševného vlastníctva Slovenskej technickej univerzity v Bratislave zabezpečuje </w:t>
      </w:r>
      <w:r w:rsidRPr="00F0732E">
        <w:rPr>
          <w:rFonts w:ascii="Cambria" w:hAnsi="Cambria"/>
          <w:sz w:val="28"/>
          <w:szCs w:val="28"/>
        </w:rPr>
        <w:t xml:space="preserve">špecializované pracovisko univerzity </w:t>
      </w:r>
      <w:r w:rsidR="0046643E">
        <w:rPr>
          <w:rFonts w:ascii="Cambria" w:hAnsi="Cambria"/>
          <w:sz w:val="28"/>
          <w:szCs w:val="28"/>
        </w:rPr>
        <w:t>–</w:t>
      </w:r>
      <w:r w:rsidRPr="00F0732E">
        <w:rPr>
          <w:rFonts w:ascii="Cambria" w:hAnsi="Cambria"/>
          <w:sz w:val="28"/>
          <w:szCs w:val="28"/>
        </w:rPr>
        <w:t xml:space="preserve"> STU Scientific, s.</w:t>
      </w:r>
      <w:r w:rsidR="0046643E">
        <w:rPr>
          <w:rFonts w:ascii="Cambria" w:hAnsi="Cambria"/>
          <w:sz w:val="28"/>
          <w:szCs w:val="28"/>
        </w:rPr>
        <w:t xml:space="preserve"> </w:t>
      </w:r>
      <w:r w:rsidRPr="00F0732E">
        <w:rPr>
          <w:rFonts w:ascii="Cambria" w:hAnsi="Cambria"/>
          <w:sz w:val="28"/>
          <w:szCs w:val="28"/>
        </w:rPr>
        <w:t>r.</w:t>
      </w:r>
      <w:r w:rsidR="0046643E">
        <w:rPr>
          <w:rFonts w:ascii="Cambria" w:hAnsi="Cambria"/>
          <w:sz w:val="28"/>
          <w:szCs w:val="28"/>
        </w:rPr>
        <w:t xml:space="preserve"> o.</w:t>
      </w:r>
    </w:p>
    <w:p w:rsidR="00B51749" w:rsidRPr="00F0732E" w:rsidRDefault="00B51749" w:rsidP="00B51749">
      <w:pPr>
        <w:rPr>
          <w:sz w:val="28"/>
          <w:szCs w:val="28"/>
        </w:rPr>
      </w:pPr>
      <w:r w:rsidRPr="00F0732E">
        <w:rPr>
          <w:sz w:val="28"/>
          <w:szCs w:val="28"/>
        </w:rPr>
        <w:t>Jedným z efektívnych spôsobov transferu poznatkov z akademickej pôdy do hospodárskej praxe je existencia a činnosť inovatívnych spin-off spoločnosti s majetkovou účasťou univerzity. Podporu ich zakladania a ekonomické zhodnocovanie duševného vlastníctva Slovenskej technickej univerzity v Bratislave naďalej zabezpečuje STU Scientific, s.r.o.</w:t>
      </w:r>
    </w:p>
    <w:p w:rsidR="00B51749" w:rsidRPr="00F0732E" w:rsidRDefault="00B51749" w:rsidP="00B51749">
      <w:pPr>
        <w:rPr>
          <w:sz w:val="28"/>
          <w:szCs w:val="28"/>
        </w:rPr>
      </w:pPr>
      <w:r w:rsidRPr="00F0732E">
        <w:rPr>
          <w:sz w:val="28"/>
          <w:szCs w:val="28"/>
        </w:rPr>
        <w:lastRenderedPageBreak/>
        <w:t xml:space="preserve">V roku 2014 pracovalo v prostredí STU </w:t>
      </w:r>
      <w:r w:rsidRPr="00F0732E">
        <w:rPr>
          <w:b/>
          <w:bCs/>
          <w:sz w:val="28"/>
          <w:szCs w:val="28"/>
        </w:rPr>
        <w:t xml:space="preserve">6 inovatívnych spin-off firiem </w:t>
      </w:r>
      <w:r w:rsidRPr="00F0732E">
        <w:rPr>
          <w:sz w:val="28"/>
          <w:szCs w:val="28"/>
        </w:rPr>
        <w:t xml:space="preserve">(s majetkovou účasťou STU), ktoré založili pracovníci STU na základe výsledkov vlastného výskumu. Cieľom týchto firiem je komercializácia progresívnych myšlienok ako výsledkov doterajšieho výskumu. Firma </w:t>
      </w:r>
      <w:r w:rsidRPr="00F0732E">
        <w:rPr>
          <w:i/>
          <w:iCs/>
          <w:sz w:val="28"/>
          <w:szCs w:val="28"/>
        </w:rPr>
        <w:t>STUVITAL s. r. o.</w:t>
      </w:r>
      <w:r w:rsidRPr="00F0732E">
        <w:rPr>
          <w:sz w:val="28"/>
          <w:szCs w:val="28"/>
        </w:rPr>
        <w:t xml:space="preserve">, ktorej členmi sú hlavne pracovníci univerzity, ale aj osoby mimo prostredia univerzity, má za cieľ komerčné zužitkovanie know-how v oblasti výživy a vývoja zdraviu prospešných potravín. Firma </w:t>
      </w:r>
      <w:r w:rsidRPr="00F0732E">
        <w:rPr>
          <w:i/>
          <w:iCs/>
          <w:sz w:val="28"/>
          <w:szCs w:val="28"/>
        </w:rPr>
        <w:t>InnoDrive s. r. o.</w:t>
      </w:r>
      <w:r w:rsidRPr="00F0732E">
        <w:rPr>
          <w:iCs/>
          <w:sz w:val="28"/>
          <w:szCs w:val="28"/>
        </w:rPr>
        <w:t xml:space="preserve"> poskytovala</w:t>
      </w:r>
      <w:r w:rsidRPr="00F0732E">
        <w:rPr>
          <w:i/>
          <w:iCs/>
          <w:sz w:val="28"/>
          <w:szCs w:val="28"/>
        </w:rPr>
        <w:t xml:space="preserve"> </w:t>
      </w:r>
      <w:r w:rsidRPr="00F0732E">
        <w:rPr>
          <w:sz w:val="28"/>
          <w:szCs w:val="28"/>
        </w:rPr>
        <w:t xml:space="preserve">odborné poradenstvo v oblasti priemyselnej elektroniky, automatizačnej techniky a projektovania riadiacich systémov. Firma </w:t>
      </w:r>
      <w:r w:rsidRPr="00F0732E">
        <w:rPr>
          <w:i/>
          <w:iCs/>
          <w:sz w:val="28"/>
          <w:szCs w:val="28"/>
        </w:rPr>
        <w:t xml:space="preserve">IVMA STU s. r. o. </w:t>
      </w:r>
      <w:r w:rsidRPr="00F0732E">
        <w:rPr>
          <w:sz w:val="28"/>
          <w:szCs w:val="28"/>
        </w:rPr>
        <w:t>sa venovala oblasti vývoja materiálov pre špecifické aplikácie a extrémne podmienky. Koncom roka 2014 došlo</w:t>
      </w:r>
      <w:r w:rsidR="0045282C">
        <w:rPr>
          <w:sz w:val="28"/>
          <w:szCs w:val="28"/>
        </w:rPr>
        <w:t xml:space="preserve"> v spoločnosti</w:t>
      </w:r>
      <w:r w:rsidRPr="00F0732E">
        <w:rPr>
          <w:sz w:val="28"/>
          <w:szCs w:val="28"/>
        </w:rPr>
        <w:t xml:space="preserve"> na základe rozhodnutia spoločníkov k odpredaju obchodných podielov, ako aj k zmene názvu, čím spoločnosť stratila status univerzitnej spin-off spoločnosti. Firma </w:t>
      </w:r>
      <w:r w:rsidRPr="00F0732E">
        <w:rPr>
          <w:i/>
          <w:iCs/>
          <w:sz w:val="28"/>
          <w:szCs w:val="28"/>
        </w:rPr>
        <w:t xml:space="preserve">SME STU s. r. o. </w:t>
      </w:r>
      <w:r w:rsidRPr="00F0732E">
        <w:rPr>
          <w:sz w:val="28"/>
          <w:szCs w:val="28"/>
        </w:rPr>
        <w:t xml:space="preserve">je zameraná na výskum, vývoj a poradenstvo v oblasti elektromobility, automobilov a ich mechatronických systémov, bezpečnostných systémov. Spoločnosť </w:t>
      </w:r>
      <w:r w:rsidRPr="00F0732E">
        <w:rPr>
          <w:i/>
          <w:iCs/>
          <w:sz w:val="28"/>
          <w:szCs w:val="28"/>
        </w:rPr>
        <w:t xml:space="preserve">Hydrotechnika STU s. r. o. </w:t>
      </w:r>
      <w:r w:rsidRPr="00F0732E">
        <w:rPr>
          <w:sz w:val="28"/>
          <w:szCs w:val="28"/>
        </w:rPr>
        <w:t xml:space="preserve">poskytuje služby v oblasti projektových a inžinierskych činností protipovodňovej ochrany územia najmä v úrovniach, ktoré nepokrývajú klasické projektové kancelárie a v oblasti obnoviteľných zdrojov energie. Ťažiskom aktivít spoločnosti </w:t>
      </w:r>
      <w:r w:rsidRPr="00F0732E">
        <w:rPr>
          <w:i/>
          <w:iCs/>
          <w:sz w:val="28"/>
          <w:szCs w:val="28"/>
        </w:rPr>
        <w:t>ENFEI s.r.o</w:t>
      </w:r>
      <w:r w:rsidRPr="00F0732E">
        <w:rPr>
          <w:sz w:val="28"/>
          <w:szCs w:val="28"/>
        </w:rPr>
        <w:t>., je výskum a vývoj v oblasti prevádzky elektrizačných sústav s dôrazom na optimalizáciu rozvoja a prevádzky elektrických sietí všetkých napäťových úrovní, ako aj zdrojovej základne elektrizačnej sústavy SR vrátane analýzy stavu siete a návrhu riešenia zníženia strát pri prenose. V oblasti smart grid sa jej činnosť zameriava najmä návrh technológií a procesov, testovanie a overovanie systémov, spracovanie a vyhodnocovanie dát s prihliadnutím na bezpečnosť a ochranu osobných údajov.</w:t>
      </w:r>
    </w:p>
    <w:p w:rsidR="00B51749" w:rsidRPr="00F0732E" w:rsidRDefault="00B51749" w:rsidP="00B51749">
      <w:pPr>
        <w:rPr>
          <w:sz w:val="28"/>
          <w:szCs w:val="28"/>
        </w:rPr>
      </w:pPr>
      <w:r w:rsidRPr="00F0732E">
        <w:rPr>
          <w:sz w:val="28"/>
          <w:szCs w:val="28"/>
        </w:rPr>
        <w:t>Ďalším z využívaných spôsobov transferu technológií bolo riešenie konkrétnych úloh subjektov z hospodárskej sféry. Spoločnosť STU Scientific, s.</w:t>
      </w:r>
      <w:r w:rsidR="00777BF7">
        <w:rPr>
          <w:sz w:val="28"/>
          <w:szCs w:val="28"/>
        </w:rPr>
        <w:t xml:space="preserve"> </w:t>
      </w:r>
      <w:r w:rsidRPr="00F0732E">
        <w:rPr>
          <w:sz w:val="28"/>
          <w:szCs w:val="28"/>
        </w:rPr>
        <w:t>r.</w:t>
      </w:r>
      <w:r w:rsidR="00777BF7">
        <w:rPr>
          <w:sz w:val="28"/>
          <w:szCs w:val="28"/>
        </w:rPr>
        <w:t xml:space="preserve"> </w:t>
      </w:r>
      <w:r w:rsidRPr="00F0732E">
        <w:rPr>
          <w:sz w:val="28"/>
          <w:szCs w:val="28"/>
        </w:rPr>
        <w:t>o. prostredníctvom schém na podporu spolupráce podnikateľských subjektov a</w:t>
      </w:r>
      <w:r w:rsidR="00777BF7">
        <w:rPr>
          <w:sz w:val="28"/>
          <w:szCs w:val="28"/>
        </w:rPr>
        <w:t> </w:t>
      </w:r>
      <w:r w:rsidRPr="00F0732E">
        <w:rPr>
          <w:sz w:val="28"/>
          <w:szCs w:val="28"/>
        </w:rPr>
        <w:t>vedecko</w:t>
      </w:r>
      <w:r w:rsidR="00777BF7">
        <w:rPr>
          <w:sz w:val="28"/>
          <w:szCs w:val="28"/>
        </w:rPr>
        <w:t>-</w:t>
      </w:r>
      <w:r w:rsidRPr="00F0732E">
        <w:rPr>
          <w:sz w:val="28"/>
          <w:szCs w:val="28"/>
        </w:rPr>
        <w:t>výskumných pracovísk formou inovačných voucherov vyriešila celkovo 6 projektov z oblasti aplikovaného výskumu.</w:t>
      </w:r>
    </w:p>
    <w:p w:rsidR="00B51749" w:rsidRPr="00F0732E" w:rsidRDefault="00B51749" w:rsidP="00B51749">
      <w:pPr>
        <w:rPr>
          <w:sz w:val="28"/>
          <w:szCs w:val="28"/>
        </w:rPr>
      </w:pPr>
      <w:r w:rsidRPr="00F0732E">
        <w:rPr>
          <w:sz w:val="28"/>
          <w:szCs w:val="28"/>
        </w:rPr>
        <w:t>V </w:t>
      </w:r>
      <w:r w:rsidR="00777BF7">
        <w:rPr>
          <w:sz w:val="28"/>
          <w:szCs w:val="28"/>
        </w:rPr>
        <w:t>tomto</w:t>
      </w:r>
      <w:r w:rsidRPr="00F0732E">
        <w:rPr>
          <w:sz w:val="28"/>
          <w:szCs w:val="28"/>
        </w:rPr>
        <w:t xml:space="preserve"> období spoločnosť naďalej poskytovala poradenské služby pre start-up kanceláriu umiestnenú v Univerzitnom technologickom inkubátore STU.</w:t>
      </w:r>
    </w:p>
    <w:p w:rsidR="00B51749" w:rsidRPr="00F0732E" w:rsidRDefault="00B51749" w:rsidP="00B51749">
      <w:pPr>
        <w:pStyle w:val="Default"/>
        <w:spacing w:before="240"/>
        <w:rPr>
          <w:rFonts w:ascii="Cambria" w:hAnsi="Cambria" w:cs="Times New Roman"/>
          <w:color w:val="FF0000"/>
          <w:sz w:val="28"/>
          <w:szCs w:val="28"/>
          <w:lang w:val="sk-SK"/>
        </w:rPr>
      </w:pPr>
    </w:p>
    <w:p w:rsidR="00B51749" w:rsidRPr="00F0732E" w:rsidRDefault="00B51749" w:rsidP="00B51749">
      <w:pPr>
        <w:pStyle w:val="Nadpis2"/>
        <w:rPr>
          <w:rFonts w:ascii="Cambria" w:hAnsi="Cambria"/>
          <w:color w:val="auto"/>
        </w:rPr>
      </w:pPr>
      <w:bookmarkStart w:id="42" w:name="_Toc413009345"/>
      <w:r w:rsidRPr="00F0732E">
        <w:rPr>
          <w:rFonts w:ascii="Cambria" w:hAnsi="Cambria"/>
          <w:color w:val="auto"/>
        </w:rPr>
        <w:lastRenderedPageBreak/>
        <w:t>Podporné služby výskumu</w:t>
      </w:r>
      <w:bookmarkEnd w:id="42"/>
      <w:r w:rsidRPr="00F0732E">
        <w:rPr>
          <w:rFonts w:ascii="Cambria" w:hAnsi="Cambria"/>
          <w:color w:val="auto"/>
        </w:rPr>
        <w:t xml:space="preserve"> </w:t>
      </w:r>
    </w:p>
    <w:p w:rsidR="00B51749" w:rsidRPr="00F0732E" w:rsidRDefault="00B51749" w:rsidP="00B51749">
      <w:pPr>
        <w:autoSpaceDE w:val="0"/>
        <w:autoSpaceDN w:val="0"/>
        <w:adjustRightInd w:val="0"/>
        <w:rPr>
          <w:bCs/>
          <w:i/>
          <w:sz w:val="28"/>
          <w:szCs w:val="28"/>
        </w:rPr>
      </w:pPr>
    </w:p>
    <w:p w:rsidR="00B51749" w:rsidRPr="00F0732E" w:rsidRDefault="00B51749" w:rsidP="00B51749">
      <w:pPr>
        <w:pStyle w:val="Odsekzoznamu"/>
        <w:numPr>
          <w:ilvl w:val="0"/>
          <w:numId w:val="10"/>
        </w:numPr>
        <w:autoSpaceDE w:val="0"/>
        <w:autoSpaceDN w:val="0"/>
        <w:adjustRightInd w:val="0"/>
        <w:spacing w:after="0" w:line="240" w:lineRule="auto"/>
        <w:rPr>
          <w:rFonts w:ascii="Cambria" w:hAnsi="Cambria"/>
          <w:b/>
          <w:i/>
          <w:sz w:val="28"/>
          <w:szCs w:val="28"/>
        </w:rPr>
      </w:pPr>
      <w:r w:rsidRPr="00F0732E">
        <w:rPr>
          <w:rFonts w:ascii="Cambria" w:hAnsi="Cambria"/>
          <w:b/>
          <w:i/>
          <w:sz w:val="28"/>
          <w:szCs w:val="28"/>
        </w:rPr>
        <w:t xml:space="preserve">Monitorovanie výziev </w:t>
      </w:r>
      <w:r w:rsidR="00777BF7">
        <w:rPr>
          <w:rFonts w:ascii="Cambria" w:hAnsi="Cambria"/>
          <w:b/>
          <w:i/>
          <w:sz w:val="28"/>
          <w:szCs w:val="28"/>
        </w:rPr>
        <w:t>na</w:t>
      </w:r>
      <w:r w:rsidRPr="00F0732E">
        <w:rPr>
          <w:rFonts w:ascii="Cambria" w:hAnsi="Cambria"/>
          <w:b/>
          <w:i/>
          <w:sz w:val="28"/>
          <w:szCs w:val="28"/>
        </w:rPr>
        <w:t xml:space="preserve"> projekty</w:t>
      </w:r>
    </w:p>
    <w:p w:rsidR="00B51749" w:rsidRPr="00F0732E" w:rsidRDefault="00B51749" w:rsidP="00B51749">
      <w:pPr>
        <w:autoSpaceDE w:val="0"/>
        <w:autoSpaceDN w:val="0"/>
        <w:adjustRightInd w:val="0"/>
        <w:rPr>
          <w:sz w:val="28"/>
          <w:szCs w:val="28"/>
        </w:rPr>
      </w:pPr>
      <w:r w:rsidRPr="00F0732E">
        <w:rPr>
          <w:sz w:val="28"/>
          <w:szCs w:val="28"/>
        </w:rPr>
        <w:t xml:space="preserve">Aj v uplynulom roku pokračovalo Vyhľadávanie výziev </w:t>
      </w:r>
      <w:r w:rsidR="00777BF7">
        <w:rPr>
          <w:sz w:val="28"/>
          <w:szCs w:val="28"/>
        </w:rPr>
        <w:t>na</w:t>
      </w:r>
      <w:r w:rsidRPr="00F0732E">
        <w:rPr>
          <w:sz w:val="28"/>
          <w:szCs w:val="28"/>
        </w:rPr>
        <w:t xml:space="preserve"> projekty prostredníctvom SPIRIT Portálu. Ten sústredil informácie o dostupných zahraničných zdrojoch na výskumnú činnosť, otvorených i chystaných výzvach rámcových programov EÚ a pod. </w:t>
      </w:r>
    </w:p>
    <w:p w:rsidR="00B51749" w:rsidRPr="00F0732E" w:rsidRDefault="00B51749" w:rsidP="00B51749">
      <w:pPr>
        <w:autoSpaceDE w:val="0"/>
        <w:autoSpaceDN w:val="0"/>
        <w:adjustRightInd w:val="0"/>
        <w:rPr>
          <w:sz w:val="28"/>
          <w:szCs w:val="28"/>
        </w:rPr>
      </w:pPr>
    </w:p>
    <w:p w:rsidR="00B51749" w:rsidRPr="00F0732E" w:rsidRDefault="00B51749" w:rsidP="00B51749">
      <w:pPr>
        <w:pStyle w:val="Odsekzoznamu"/>
        <w:numPr>
          <w:ilvl w:val="0"/>
          <w:numId w:val="10"/>
        </w:numPr>
        <w:autoSpaceDE w:val="0"/>
        <w:autoSpaceDN w:val="0"/>
        <w:adjustRightInd w:val="0"/>
        <w:spacing w:after="0" w:line="240" w:lineRule="auto"/>
        <w:rPr>
          <w:rFonts w:ascii="Cambria" w:hAnsi="Cambria"/>
          <w:i/>
          <w:sz w:val="28"/>
          <w:szCs w:val="28"/>
        </w:rPr>
      </w:pPr>
      <w:r w:rsidRPr="00F0732E">
        <w:rPr>
          <w:rFonts w:ascii="Cambria" w:hAnsi="Cambria"/>
          <w:b/>
          <w:i/>
          <w:sz w:val="28"/>
          <w:szCs w:val="28"/>
        </w:rPr>
        <w:t>Program prefinancovania MVTS</w:t>
      </w:r>
    </w:p>
    <w:p w:rsidR="00B51749" w:rsidRPr="00F0732E" w:rsidRDefault="00B51749" w:rsidP="00B51749">
      <w:pPr>
        <w:autoSpaceDE w:val="0"/>
        <w:autoSpaceDN w:val="0"/>
        <w:adjustRightInd w:val="0"/>
        <w:rPr>
          <w:sz w:val="28"/>
          <w:szCs w:val="28"/>
        </w:rPr>
      </w:pPr>
      <w:r w:rsidRPr="00F0732E">
        <w:rPr>
          <w:sz w:val="28"/>
          <w:szCs w:val="28"/>
        </w:rPr>
        <w:t xml:space="preserve">Od roku 2008 sa realizuje </w:t>
      </w:r>
      <w:r w:rsidRPr="00F0732E">
        <w:rPr>
          <w:b/>
          <w:sz w:val="28"/>
          <w:szCs w:val="28"/>
        </w:rPr>
        <w:t>Program na prefinancovanie výskumných projektov medzinárodnej vedecko-technickej spolupráce</w:t>
      </w:r>
      <w:r w:rsidRPr="00F0732E">
        <w:rPr>
          <w:sz w:val="28"/>
          <w:szCs w:val="28"/>
        </w:rPr>
        <w:t xml:space="preserve"> (ďalej len MVTS) za účelom podpory plynulého riešenia projektov MVTS, najmä v rámcových programov EÚ a zvýšenia úspešnosti pracovísk STU pri riešení týchto projektov. Program je súčasťou systému podpory rozvoja vedy na STU v súlade s odporúčaniami Európskej asociácie univerzít. </w:t>
      </w:r>
    </w:p>
    <w:p w:rsidR="00B51749" w:rsidRPr="00F0732E" w:rsidRDefault="00B51749" w:rsidP="00B51749">
      <w:pPr>
        <w:autoSpaceDE w:val="0"/>
        <w:autoSpaceDN w:val="0"/>
        <w:adjustRightInd w:val="0"/>
        <w:rPr>
          <w:sz w:val="28"/>
          <w:szCs w:val="28"/>
        </w:rPr>
      </w:pPr>
    </w:p>
    <w:p w:rsidR="00B51749" w:rsidRPr="00F0732E" w:rsidRDefault="00B51749" w:rsidP="00B51749">
      <w:pPr>
        <w:pStyle w:val="Odsekzoznamu"/>
        <w:numPr>
          <w:ilvl w:val="0"/>
          <w:numId w:val="10"/>
        </w:numPr>
        <w:autoSpaceDE w:val="0"/>
        <w:autoSpaceDN w:val="0"/>
        <w:adjustRightInd w:val="0"/>
        <w:spacing w:after="0" w:line="240" w:lineRule="auto"/>
        <w:rPr>
          <w:rFonts w:ascii="Cambria" w:hAnsi="Cambria"/>
          <w:i/>
          <w:sz w:val="28"/>
          <w:szCs w:val="28"/>
        </w:rPr>
      </w:pPr>
      <w:r w:rsidRPr="00F0732E">
        <w:rPr>
          <w:rFonts w:ascii="Cambria" w:hAnsi="Cambria"/>
          <w:b/>
          <w:i/>
          <w:sz w:val="28"/>
          <w:szCs w:val="28"/>
        </w:rPr>
        <w:t>Motivačný program</w:t>
      </w:r>
    </w:p>
    <w:p w:rsidR="00B51749" w:rsidRPr="00F0732E" w:rsidRDefault="00B51749" w:rsidP="00B51749">
      <w:pPr>
        <w:autoSpaceDE w:val="0"/>
        <w:autoSpaceDN w:val="0"/>
        <w:adjustRightInd w:val="0"/>
        <w:rPr>
          <w:sz w:val="28"/>
          <w:szCs w:val="28"/>
        </w:rPr>
      </w:pPr>
      <w:r w:rsidRPr="00F0732E">
        <w:rPr>
          <w:sz w:val="28"/>
          <w:szCs w:val="28"/>
        </w:rPr>
        <w:t xml:space="preserve">Od toho istého roku, v snahe podporiť motiváciu jednotlivcov na podávanie projektov MVTS, rektor STU zriadil </w:t>
      </w:r>
      <w:r w:rsidRPr="00F0732E">
        <w:rPr>
          <w:b/>
          <w:sz w:val="28"/>
          <w:szCs w:val="28"/>
        </w:rPr>
        <w:t>Program na podporu zapájania STU do projektov medzinárodnej vedecko-technickej spolupráce</w:t>
      </w:r>
      <w:r w:rsidRPr="00F0732E">
        <w:rPr>
          <w:sz w:val="28"/>
          <w:szCs w:val="28"/>
        </w:rPr>
        <w:t xml:space="preserve">, tzv. </w:t>
      </w:r>
      <w:r w:rsidRPr="00F0732E">
        <w:rPr>
          <w:i/>
          <w:sz w:val="28"/>
          <w:szCs w:val="28"/>
        </w:rPr>
        <w:t>Motivačný program</w:t>
      </w:r>
      <w:r w:rsidRPr="00F0732E">
        <w:rPr>
          <w:sz w:val="28"/>
          <w:szCs w:val="28"/>
        </w:rPr>
        <w:t>. V rámci tohto programu rektor priznáva mimoriadnu odmenu tým zamestnancom, resp. študentom STU, ktorí vypracujú a/alebo dohodnú účasť kolektívu STU na projekte medzinárodnej vedecko-technickej spolupráce financovanom z prostriedkov zahraničných schém</w:t>
      </w:r>
      <w:r w:rsidR="00777BF7">
        <w:rPr>
          <w:sz w:val="28"/>
          <w:szCs w:val="28"/>
        </w:rPr>
        <w:t>,</w:t>
      </w:r>
      <w:r w:rsidRPr="00F0732E">
        <w:rPr>
          <w:sz w:val="28"/>
          <w:szCs w:val="28"/>
        </w:rPr>
        <w:t xml:space="preserve"> ktoré sú posudzované financujúcim orgánom. Projekty MVTS, zahrnuté do tohto programu, musia mať charakter vedeckých, technických alebo umeleckých projektov podporujúcich medzinárodnú spoluprácu, musia zapájať do projektu minimálne jedno pracovisko STU a musia finančne podporovať činnosť tohto pracoviska zo zahraničných zdrojov, ako sú napr. Rámcové programy Európskej únie pre výskum a vývoj (7. RP a CIP), Nórsky finančný mechanizmus, NATO a pod.</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rPr>
          <w:sz w:val="28"/>
          <w:szCs w:val="28"/>
        </w:rPr>
      </w:pPr>
    </w:p>
    <w:p w:rsidR="00B51749" w:rsidRPr="00F0732E" w:rsidRDefault="00B51749" w:rsidP="00B51749">
      <w:pPr>
        <w:pStyle w:val="Nadpis3"/>
        <w:rPr>
          <w:rFonts w:ascii="Cambria" w:hAnsi="Cambria"/>
          <w:sz w:val="28"/>
          <w:szCs w:val="28"/>
        </w:rPr>
      </w:pPr>
      <w:bookmarkStart w:id="43" w:name="_Toc413009346"/>
      <w:r w:rsidRPr="00F0732E">
        <w:rPr>
          <w:rFonts w:ascii="Cambria" w:hAnsi="Cambria"/>
          <w:sz w:val="28"/>
          <w:szCs w:val="28"/>
        </w:rPr>
        <w:t>Univerzitná knižnica STU</w:t>
      </w:r>
      <w:bookmarkEnd w:id="43"/>
      <w:r w:rsidRPr="00F0732E">
        <w:rPr>
          <w:rFonts w:ascii="Cambria" w:hAnsi="Cambria"/>
          <w:sz w:val="28"/>
          <w:szCs w:val="28"/>
        </w:rPr>
        <w:t xml:space="preserve"> </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Jedným z podporných pracovísk STU je Univerzitná knižnica  STU. Toto pracovisko pôsobí ako koordinátor aktivít akademických </w:t>
      </w:r>
      <w:r w:rsidRPr="00F0732E">
        <w:rPr>
          <w:sz w:val="28"/>
          <w:szCs w:val="28"/>
        </w:rPr>
        <w:lastRenderedPageBreak/>
        <w:t xml:space="preserve">knižníc na STU. Jeho aktivity a služby sú dostupné na stránke STU Virtuálna knižnica. </w:t>
      </w:r>
    </w:p>
    <w:p w:rsidR="00B51749" w:rsidRPr="00F0732E" w:rsidRDefault="00B51749" w:rsidP="00B51749">
      <w:pPr>
        <w:rPr>
          <w:sz w:val="28"/>
          <w:szCs w:val="28"/>
        </w:rPr>
      </w:pPr>
      <w:r w:rsidRPr="00F0732E">
        <w:rPr>
          <w:sz w:val="28"/>
          <w:szCs w:val="28"/>
        </w:rPr>
        <w:t xml:space="preserve">Cieľom činnosti tohto pracoviska je zjednocovanie pracovných postupov akademických knižníc na fakultách STU. </w:t>
      </w:r>
    </w:p>
    <w:p w:rsidR="00B51749" w:rsidRPr="00F0732E" w:rsidRDefault="00B51749" w:rsidP="00B51749">
      <w:pPr>
        <w:ind w:firstLine="360"/>
        <w:rPr>
          <w:sz w:val="28"/>
          <w:szCs w:val="28"/>
        </w:rPr>
      </w:pPr>
    </w:p>
    <w:p w:rsidR="00B51749" w:rsidRPr="00F0732E" w:rsidRDefault="00B51749" w:rsidP="00B51749">
      <w:pPr>
        <w:numPr>
          <w:ilvl w:val="0"/>
          <w:numId w:val="34"/>
        </w:numPr>
        <w:rPr>
          <w:sz w:val="28"/>
          <w:szCs w:val="28"/>
        </w:rPr>
      </w:pPr>
      <w:r w:rsidRPr="00F0732E">
        <w:rPr>
          <w:sz w:val="28"/>
          <w:szCs w:val="28"/>
        </w:rPr>
        <w:t xml:space="preserve">centralizovaný nákup databáz (okrem projektu NISPEZ – CVTI SR) zameraný na technické odbory. </w:t>
      </w:r>
    </w:p>
    <w:p w:rsidR="00B51749" w:rsidRPr="00F0732E" w:rsidRDefault="00B51749" w:rsidP="00B51749">
      <w:pPr>
        <w:numPr>
          <w:ilvl w:val="0"/>
          <w:numId w:val="34"/>
        </w:numPr>
        <w:rPr>
          <w:sz w:val="28"/>
          <w:szCs w:val="28"/>
        </w:rPr>
      </w:pPr>
      <w:r w:rsidRPr="00F0732E">
        <w:rPr>
          <w:sz w:val="28"/>
          <w:szCs w:val="28"/>
        </w:rPr>
        <w:t xml:space="preserve">metodické riadenie publikačnej a umeleckej činnosti (EPČ a EUCA), komunikácia s nadriadenými orgánmi, kontrola výstupov z CREPC a EUCA (z dát v CVT STU), ich následné vyhodnotenie a vytvorenie podkladov k rozpisu dotácií na fakulty STU.  </w:t>
      </w:r>
    </w:p>
    <w:p w:rsidR="00B51749" w:rsidRPr="00F0732E" w:rsidRDefault="00B51749" w:rsidP="00B51749">
      <w:pPr>
        <w:numPr>
          <w:ilvl w:val="0"/>
          <w:numId w:val="34"/>
        </w:numPr>
        <w:rPr>
          <w:sz w:val="28"/>
          <w:szCs w:val="28"/>
        </w:rPr>
      </w:pPr>
      <w:r w:rsidRPr="00F0732E">
        <w:rPr>
          <w:sz w:val="28"/>
          <w:szCs w:val="28"/>
        </w:rPr>
        <w:t xml:space="preserve">pracovisko buduje dve vlastné databázy – súborný katalóg knižníc STU a databázu </w:t>
      </w:r>
    </w:p>
    <w:p w:rsidR="00B51749" w:rsidRPr="00F0732E" w:rsidRDefault="00B51749" w:rsidP="00B51749">
      <w:pPr>
        <w:numPr>
          <w:ilvl w:val="0"/>
          <w:numId w:val="34"/>
        </w:numPr>
        <w:rPr>
          <w:sz w:val="28"/>
          <w:szCs w:val="28"/>
        </w:rPr>
      </w:pPr>
      <w:r w:rsidRPr="00F0732E">
        <w:rPr>
          <w:sz w:val="28"/>
          <w:szCs w:val="28"/>
        </w:rPr>
        <w:t xml:space="preserve">v súčinnosti s CVT STU a na podnet uvedeného pracoviska bol zriadený vzdialený prístup. </w:t>
      </w:r>
    </w:p>
    <w:p w:rsidR="00B51749" w:rsidRPr="00F0732E" w:rsidRDefault="00B51749" w:rsidP="00B51749">
      <w:pPr>
        <w:tabs>
          <w:tab w:val="left" w:pos="8598"/>
        </w:tabs>
        <w:rPr>
          <w:sz w:val="28"/>
          <w:szCs w:val="28"/>
        </w:rPr>
      </w:pPr>
      <w:r w:rsidRPr="00F0732E">
        <w:rPr>
          <w:sz w:val="28"/>
          <w:szCs w:val="28"/>
        </w:rPr>
        <w:tab/>
      </w:r>
    </w:p>
    <w:p w:rsidR="00B51749" w:rsidRPr="00F0732E" w:rsidRDefault="00B51749" w:rsidP="00B51749">
      <w:pPr>
        <w:rPr>
          <w:sz w:val="28"/>
          <w:szCs w:val="28"/>
        </w:rPr>
      </w:pPr>
      <w:r w:rsidRPr="00F0732E">
        <w:rPr>
          <w:sz w:val="28"/>
          <w:szCs w:val="28"/>
        </w:rPr>
        <w:t>Hlavným poslaním pracoviska je poskytovanie kvalitných servisných a konzultačných služieb pre študentov, doktorandov a zamestnancov STU v oblasti vzdelávania a vedecko-výskumnej činnosti. V neposlednom rade je aj technické zabezpečenie prevádzky siete a informačného systému, výpožičnej, publikačnej a rešeršnej činnosti. Vznik knižnice sa datuje od roku 2008. V minulosti knižn</w:t>
      </w:r>
      <w:r w:rsidR="00887EB6">
        <w:rPr>
          <w:sz w:val="28"/>
          <w:szCs w:val="28"/>
        </w:rPr>
        <w:t>ica poskytovala klasické služby</w:t>
      </w:r>
      <w:r w:rsidRPr="00F0732E">
        <w:rPr>
          <w:sz w:val="28"/>
          <w:szCs w:val="28"/>
        </w:rPr>
        <w:t xml:space="preserve"> – nákup literatúry, tvorba bibliografií, výmenu publikácií, spracovávanie dokumentov, uchovávanie, vypožičiavanie dokumentov. Od roku 2008 je v prevádzke aj vzdialený prístup, a to cez virtuálnu privátnu sieť (VPN), ktorá umožňuje cez verejnú sieť Internetu bezpečné prepojenie domácich používateľov so sieťou STU pomocou VPN tunela.</w:t>
      </w:r>
    </w:p>
    <w:p w:rsidR="00B51749" w:rsidRPr="00F0732E" w:rsidRDefault="00B51749" w:rsidP="00B51749">
      <w:pPr>
        <w:ind w:firstLine="720"/>
        <w:rPr>
          <w:sz w:val="28"/>
          <w:szCs w:val="28"/>
        </w:rPr>
      </w:pPr>
      <w:r w:rsidRPr="00F0732E">
        <w:rPr>
          <w:sz w:val="28"/>
          <w:szCs w:val="28"/>
        </w:rPr>
        <w:t xml:space="preserve">Poslaním knižnice je zabezpečenie vhodnej technickej a ľudskej infraštruktúry pre koncentrovaný výskum a vývoj realizovaný na STU Bratislava, a to vo vybraných vedných a technických oblastiach v súvislosti so vzdelávacími a ďalšími odbornými pracoviskami STU a s jej partnermi. </w:t>
      </w:r>
    </w:p>
    <w:p w:rsidR="00B51749" w:rsidRPr="00F0732E" w:rsidRDefault="00B51749" w:rsidP="00B51749">
      <w:pPr>
        <w:ind w:firstLine="720"/>
        <w:rPr>
          <w:sz w:val="28"/>
          <w:szCs w:val="28"/>
        </w:rPr>
      </w:pPr>
      <w:r w:rsidRPr="00F0732E">
        <w:rPr>
          <w:sz w:val="28"/>
          <w:szCs w:val="28"/>
        </w:rPr>
        <w:t xml:space="preserve">Univerzitná knižnica pravidelne organizuje špecializované školenia zamerané na využívanie svetových databáz v súlade s požiadavkami odborovo zameraných skupín </w:t>
      </w:r>
      <w:r w:rsidR="00633A75">
        <w:rPr>
          <w:sz w:val="28"/>
          <w:szCs w:val="28"/>
        </w:rPr>
        <w:t>–</w:t>
      </w:r>
      <w:r w:rsidRPr="00F0732E">
        <w:rPr>
          <w:sz w:val="28"/>
          <w:szCs w:val="28"/>
        </w:rPr>
        <w:t xml:space="preserve"> doktorandi, študenti bakalárskeho a inžinierskeho stupňa štúdia. </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pStyle w:val="Nadpis2"/>
        <w:rPr>
          <w:rFonts w:ascii="Cambria" w:hAnsi="Cambria"/>
          <w:color w:val="auto"/>
        </w:rPr>
      </w:pPr>
      <w:bookmarkStart w:id="44" w:name="_Toc413009347"/>
      <w:r w:rsidRPr="00F0732E">
        <w:rPr>
          <w:rFonts w:ascii="Cambria" w:hAnsi="Cambria"/>
          <w:color w:val="auto"/>
        </w:rPr>
        <w:lastRenderedPageBreak/>
        <w:t>Výskumná činnosť nepodporovaná z grantov</w:t>
      </w:r>
      <w:bookmarkEnd w:id="44"/>
      <w:r w:rsidRPr="00F0732E">
        <w:rPr>
          <w:rFonts w:ascii="Cambria" w:hAnsi="Cambria"/>
          <w:color w:val="auto"/>
        </w:rPr>
        <w:t xml:space="preserve"> </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rPr>
          <w:sz w:val="28"/>
          <w:szCs w:val="28"/>
        </w:rPr>
      </w:pPr>
      <w:r w:rsidRPr="00F0732E">
        <w:rPr>
          <w:sz w:val="28"/>
          <w:szCs w:val="28"/>
        </w:rPr>
        <w:t>Slovenská technická univerzita v Bratislave je stabilným partnerom priemyselnej praxe v oblasti poskytovania inovatívnych a netradičných riešení pre priamu aplikáciu v hospodárskej sfére, ktoré spravidla vychádzajú z prioritných tém výskumu pracovísk univerzity. Pracovisk</w:t>
      </w:r>
      <w:r w:rsidR="00633A75">
        <w:rPr>
          <w:sz w:val="28"/>
          <w:szCs w:val="28"/>
        </w:rPr>
        <w:t>á</w:t>
      </w:r>
      <w:r w:rsidRPr="00F0732E">
        <w:rPr>
          <w:sz w:val="28"/>
          <w:szCs w:val="28"/>
        </w:rPr>
        <w:t xml:space="preserve"> fakúlt riešia pre domáce a zahraničné hospodárske subjekty rôzne výskumné projekty najčastejšie formou podnikateľskej činnosti, ktorá sa realizuje obyčajne formou Zmluvy o dielo. Zmluvný výskum sa </w:t>
      </w:r>
      <w:r w:rsidR="007D7739">
        <w:rPr>
          <w:sz w:val="28"/>
          <w:szCs w:val="28"/>
        </w:rPr>
        <w:t>spravidla</w:t>
      </w:r>
      <w:r w:rsidRPr="00F0732E">
        <w:rPr>
          <w:sz w:val="28"/>
          <w:szCs w:val="28"/>
        </w:rPr>
        <w:t xml:space="preserve"> </w:t>
      </w:r>
      <w:r w:rsidR="00633A75">
        <w:rPr>
          <w:sz w:val="28"/>
          <w:szCs w:val="28"/>
        </w:rPr>
        <w:t>uskutočňuje</w:t>
      </w:r>
      <w:r w:rsidRPr="00F0732E">
        <w:rPr>
          <w:sz w:val="28"/>
          <w:szCs w:val="28"/>
        </w:rPr>
        <w:t xml:space="preserve"> ako projekt, ktorý sa získava súťažnou formou. Tento má často exaktne definovaný predmet plnenia a formu výstupu a jeho výsledky sa obyčajne odovzdávajú oponentúrou výsledkov.</w:t>
      </w:r>
    </w:p>
    <w:p w:rsidR="00B51749" w:rsidRPr="00F0732E" w:rsidRDefault="00B51749" w:rsidP="00B51749">
      <w:pPr>
        <w:autoSpaceDE w:val="0"/>
        <w:autoSpaceDN w:val="0"/>
        <w:adjustRightInd w:val="0"/>
        <w:rPr>
          <w:color w:val="FF0000"/>
          <w:sz w:val="28"/>
          <w:szCs w:val="28"/>
        </w:rPr>
      </w:pPr>
    </w:p>
    <w:p w:rsidR="00B51749" w:rsidRPr="00F0732E" w:rsidRDefault="00B51749" w:rsidP="00B51749">
      <w:pPr>
        <w:autoSpaceDE w:val="0"/>
        <w:autoSpaceDN w:val="0"/>
        <w:adjustRightInd w:val="0"/>
        <w:rPr>
          <w:sz w:val="28"/>
          <w:szCs w:val="28"/>
        </w:rPr>
      </w:pPr>
      <w:r w:rsidRPr="00F0732E">
        <w:rPr>
          <w:b/>
          <w:sz w:val="28"/>
          <w:szCs w:val="28"/>
        </w:rPr>
        <w:t>V roku 2014 sa na STU riešilo 274 projektov zmluvného výskumu pre priemyselnú prax</w:t>
      </w:r>
      <w:r w:rsidRPr="00F0732E">
        <w:rPr>
          <w:sz w:val="28"/>
          <w:szCs w:val="28"/>
        </w:rPr>
        <w:t>, ktoré sú podrobne a prehľadne vymenované v </w:t>
      </w:r>
      <w:r w:rsidR="003D2012">
        <w:rPr>
          <w:sz w:val="28"/>
          <w:szCs w:val="28"/>
        </w:rPr>
        <w:t>T</w:t>
      </w:r>
      <w:r w:rsidRPr="00F0732E">
        <w:rPr>
          <w:sz w:val="28"/>
          <w:szCs w:val="28"/>
        </w:rPr>
        <w:t>abuľke 19 prílohy výročnej správy. Prehľad počtu zmluvných výskumných projektov na riešiteľských pracoviskách fakúlt je uvedený v </w:t>
      </w:r>
      <w:r w:rsidR="003D2012">
        <w:rPr>
          <w:sz w:val="28"/>
          <w:szCs w:val="28"/>
        </w:rPr>
        <w:t>T</w:t>
      </w:r>
      <w:r w:rsidRPr="00F0732E">
        <w:rPr>
          <w:sz w:val="28"/>
          <w:szCs w:val="28"/>
        </w:rPr>
        <w:t xml:space="preserve">abuľke 5.9. </w:t>
      </w:r>
    </w:p>
    <w:p w:rsidR="00B51749" w:rsidRPr="00F0732E" w:rsidRDefault="00B51749" w:rsidP="00B51749">
      <w:pPr>
        <w:autoSpaceDE w:val="0"/>
        <w:autoSpaceDN w:val="0"/>
        <w:adjustRightInd w:val="0"/>
        <w:rPr>
          <w:color w:val="FF0000"/>
          <w:sz w:val="28"/>
          <w:szCs w:val="28"/>
        </w:rPr>
      </w:pPr>
      <w:r w:rsidRPr="00F0732E">
        <w:rPr>
          <w:color w:val="FF0000"/>
          <w:sz w:val="28"/>
          <w:szCs w:val="28"/>
        </w:rPr>
        <w:t xml:space="preserve"> </w:t>
      </w:r>
    </w:p>
    <w:p w:rsidR="00B51749" w:rsidRPr="00F0732E" w:rsidRDefault="00B51749" w:rsidP="00B51749">
      <w:pPr>
        <w:autoSpaceDE w:val="0"/>
        <w:autoSpaceDN w:val="0"/>
        <w:adjustRightInd w:val="0"/>
        <w:rPr>
          <w:b/>
          <w:sz w:val="28"/>
          <w:szCs w:val="28"/>
        </w:rPr>
      </w:pPr>
      <w:r w:rsidRPr="00F0732E">
        <w:rPr>
          <w:b/>
          <w:sz w:val="28"/>
          <w:szCs w:val="28"/>
        </w:rPr>
        <w:t>Tabuľka 5.9. Prehľad počtu zmluvných výskumných projektov STU v roku 2014</w:t>
      </w:r>
    </w:p>
    <w:tbl>
      <w:tblPr>
        <w:tblW w:w="8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97"/>
        <w:gridCol w:w="907"/>
        <w:gridCol w:w="1086"/>
        <w:gridCol w:w="882"/>
        <w:gridCol w:w="957"/>
        <w:gridCol w:w="911"/>
        <w:gridCol w:w="939"/>
        <w:gridCol w:w="1007"/>
      </w:tblGrid>
      <w:tr w:rsidR="00B51749" w:rsidRPr="00F0732E" w:rsidTr="00447572">
        <w:trPr>
          <w:trHeight w:val="650"/>
        </w:trPr>
        <w:tc>
          <w:tcPr>
            <w:tcW w:w="91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SvF</w:t>
            </w:r>
          </w:p>
        </w:tc>
        <w:tc>
          <w:tcPr>
            <w:tcW w:w="897"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SjF</w:t>
            </w:r>
          </w:p>
        </w:tc>
        <w:tc>
          <w:tcPr>
            <w:tcW w:w="907"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FEI</w:t>
            </w:r>
          </w:p>
        </w:tc>
        <w:tc>
          <w:tcPr>
            <w:tcW w:w="108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FCHPT</w:t>
            </w:r>
          </w:p>
        </w:tc>
        <w:tc>
          <w:tcPr>
            <w:tcW w:w="882"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FA</w:t>
            </w:r>
          </w:p>
        </w:tc>
        <w:tc>
          <w:tcPr>
            <w:tcW w:w="957"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MTF</w:t>
            </w:r>
          </w:p>
        </w:tc>
        <w:tc>
          <w:tcPr>
            <w:tcW w:w="911"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ÚM</w:t>
            </w:r>
          </w:p>
        </w:tc>
        <w:tc>
          <w:tcPr>
            <w:tcW w:w="939"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R STU</w:t>
            </w:r>
          </w:p>
        </w:tc>
        <w:tc>
          <w:tcPr>
            <w:tcW w:w="1007"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Spolu</w:t>
            </w:r>
          </w:p>
        </w:tc>
      </w:tr>
      <w:tr w:rsidR="00B51749" w:rsidRPr="00F0732E" w:rsidTr="00447572">
        <w:trPr>
          <w:trHeight w:val="325"/>
        </w:trPr>
        <w:tc>
          <w:tcPr>
            <w:tcW w:w="91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48</w:t>
            </w:r>
          </w:p>
        </w:tc>
        <w:tc>
          <w:tcPr>
            <w:tcW w:w="897"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16</w:t>
            </w:r>
          </w:p>
        </w:tc>
        <w:tc>
          <w:tcPr>
            <w:tcW w:w="907"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180</w:t>
            </w:r>
          </w:p>
        </w:tc>
        <w:tc>
          <w:tcPr>
            <w:tcW w:w="108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27</w:t>
            </w:r>
          </w:p>
        </w:tc>
        <w:tc>
          <w:tcPr>
            <w:tcW w:w="882"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w:t>
            </w:r>
          </w:p>
        </w:tc>
        <w:tc>
          <w:tcPr>
            <w:tcW w:w="957"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w:t>
            </w:r>
          </w:p>
        </w:tc>
        <w:tc>
          <w:tcPr>
            <w:tcW w:w="911"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w:t>
            </w:r>
          </w:p>
        </w:tc>
        <w:tc>
          <w:tcPr>
            <w:tcW w:w="939"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0</w:t>
            </w:r>
          </w:p>
        </w:tc>
        <w:tc>
          <w:tcPr>
            <w:tcW w:w="1007"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274</w:t>
            </w:r>
          </w:p>
        </w:tc>
      </w:tr>
    </w:tbl>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rPr>
          <w:sz w:val="28"/>
          <w:szCs w:val="28"/>
        </w:rPr>
      </w:pPr>
      <w:r w:rsidRPr="00F0732E">
        <w:rPr>
          <w:sz w:val="28"/>
          <w:szCs w:val="28"/>
        </w:rPr>
        <w:t>V </w:t>
      </w:r>
      <w:r w:rsidR="003D2012">
        <w:rPr>
          <w:sz w:val="28"/>
          <w:szCs w:val="28"/>
        </w:rPr>
        <w:t>T</w:t>
      </w:r>
      <w:r w:rsidRPr="00F0732E">
        <w:rPr>
          <w:sz w:val="28"/>
          <w:szCs w:val="28"/>
        </w:rPr>
        <w:t>abuľke 5.10. sú uvedené finančné objemy uhradených zmluvných výskumných projektov jednotlivých fakúlt v roku 2014.</w:t>
      </w:r>
    </w:p>
    <w:p w:rsidR="00B51749" w:rsidRPr="00F0732E" w:rsidRDefault="00B51749" w:rsidP="00B51749">
      <w:pPr>
        <w:autoSpaceDE w:val="0"/>
        <w:autoSpaceDN w:val="0"/>
        <w:adjustRightInd w:val="0"/>
        <w:rPr>
          <w:color w:val="FF0000"/>
          <w:sz w:val="28"/>
          <w:szCs w:val="28"/>
        </w:rPr>
      </w:pPr>
    </w:p>
    <w:p w:rsidR="00B51749" w:rsidRPr="00F0732E" w:rsidRDefault="00B51749" w:rsidP="00B51749">
      <w:pPr>
        <w:autoSpaceDE w:val="0"/>
        <w:autoSpaceDN w:val="0"/>
        <w:adjustRightInd w:val="0"/>
        <w:rPr>
          <w:b/>
          <w:sz w:val="28"/>
          <w:szCs w:val="28"/>
        </w:rPr>
      </w:pPr>
      <w:r w:rsidRPr="00F0732E">
        <w:rPr>
          <w:b/>
          <w:sz w:val="28"/>
          <w:szCs w:val="28"/>
        </w:rPr>
        <w:t>Tabuľka 5.10. Prehľad finančných úhrad za zmluvné výskumné projekty STU v roku 2014 (v tis. eur)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983"/>
        <w:gridCol w:w="903"/>
        <w:gridCol w:w="1084"/>
        <w:gridCol w:w="854"/>
        <w:gridCol w:w="942"/>
        <w:gridCol w:w="888"/>
        <w:gridCol w:w="921"/>
        <w:gridCol w:w="1006"/>
      </w:tblGrid>
      <w:tr w:rsidR="00B51749" w:rsidRPr="00F0732E" w:rsidTr="00447572">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SvF</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SjF</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FEI</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FCHPT</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FA</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MTF</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ÚM</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R STU</w:t>
            </w:r>
          </w:p>
        </w:tc>
        <w:tc>
          <w:tcPr>
            <w:tcW w:w="1036" w:type="dxa"/>
            <w:shd w:val="clear" w:color="auto" w:fill="auto"/>
          </w:tcPr>
          <w:p w:rsidR="00B51749" w:rsidRPr="00F0732E" w:rsidRDefault="00B51749" w:rsidP="00447572">
            <w:pPr>
              <w:autoSpaceDE w:val="0"/>
              <w:autoSpaceDN w:val="0"/>
              <w:adjustRightInd w:val="0"/>
              <w:jc w:val="center"/>
              <w:rPr>
                <w:b/>
                <w:sz w:val="28"/>
                <w:szCs w:val="28"/>
              </w:rPr>
            </w:pPr>
            <w:r w:rsidRPr="00F0732E">
              <w:rPr>
                <w:b/>
                <w:sz w:val="28"/>
                <w:szCs w:val="28"/>
              </w:rPr>
              <w:t>Spolu</w:t>
            </w:r>
          </w:p>
        </w:tc>
      </w:tr>
      <w:tr w:rsidR="00B51749" w:rsidRPr="00F0732E" w:rsidTr="00447572">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775</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148,8</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491</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257,3</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20</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5,7</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2,6</w:t>
            </w:r>
          </w:p>
        </w:tc>
        <w:tc>
          <w:tcPr>
            <w:tcW w:w="1036" w:type="dxa"/>
            <w:shd w:val="clear" w:color="auto" w:fill="auto"/>
          </w:tcPr>
          <w:p w:rsidR="00B51749" w:rsidRPr="00F0732E" w:rsidRDefault="00B51749" w:rsidP="00447572">
            <w:pPr>
              <w:autoSpaceDE w:val="0"/>
              <w:autoSpaceDN w:val="0"/>
              <w:adjustRightInd w:val="0"/>
              <w:jc w:val="center"/>
              <w:rPr>
                <w:sz w:val="28"/>
                <w:szCs w:val="28"/>
              </w:rPr>
            </w:pPr>
            <w:r w:rsidRPr="00F0732E">
              <w:rPr>
                <w:sz w:val="28"/>
                <w:szCs w:val="28"/>
              </w:rPr>
              <w:t>0</w:t>
            </w:r>
          </w:p>
        </w:tc>
        <w:tc>
          <w:tcPr>
            <w:tcW w:w="1036" w:type="dxa"/>
            <w:shd w:val="clear" w:color="auto" w:fill="auto"/>
          </w:tcPr>
          <w:p w:rsidR="00B51749" w:rsidRPr="00F0732E" w:rsidRDefault="00B51749" w:rsidP="00447572">
            <w:pPr>
              <w:autoSpaceDE w:val="0"/>
              <w:autoSpaceDN w:val="0"/>
              <w:adjustRightInd w:val="0"/>
              <w:rPr>
                <w:sz w:val="28"/>
                <w:szCs w:val="28"/>
              </w:rPr>
            </w:pPr>
            <w:r w:rsidRPr="00F0732E">
              <w:rPr>
                <w:sz w:val="28"/>
                <w:szCs w:val="28"/>
              </w:rPr>
              <w:t> 700,6</w:t>
            </w:r>
          </w:p>
        </w:tc>
      </w:tr>
    </w:tbl>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b/>
          <w:bCs/>
          <w:color w:val="FF0000"/>
          <w:sz w:val="28"/>
          <w:szCs w:val="28"/>
        </w:rPr>
      </w:pPr>
      <w:r w:rsidRPr="00F0732E">
        <w:rPr>
          <w:b/>
          <w:bCs/>
          <w:color w:val="FF0000"/>
          <w:sz w:val="28"/>
          <w:szCs w:val="28"/>
        </w:rPr>
        <w:br w:type="page"/>
      </w:r>
    </w:p>
    <w:p w:rsidR="00B51749" w:rsidRPr="00F0732E" w:rsidRDefault="00B51749" w:rsidP="00B51749">
      <w:pPr>
        <w:pStyle w:val="Nadpis1"/>
        <w:rPr>
          <w:rFonts w:ascii="Cambria" w:hAnsi="Cambria"/>
          <w:color w:val="auto"/>
          <w:sz w:val="28"/>
          <w:szCs w:val="28"/>
        </w:rPr>
      </w:pPr>
      <w:bookmarkStart w:id="45" w:name="_Toc413009348"/>
      <w:r w:rsidRPr="00F0732E">
        <w:rPr>
          <w:rFonts w:ascii="Cambria" w:hAnsi="Cambria"/>
          <w:color w:val="auto"/>
          <w:sz w:val="28"/>
          <w:szCs w:val="28"/>
        </w:rPr>
        <w:lastRenderedPageBreak/>
        <w:t>Habilitačné konania a konania na vymenúvanie profesorov</w:t>
      </w:r>
      <w:bookmarkEnd w:id="45"/>
    </w:p>
    <w:p w:rsidR="00B51749" w:rsidRPr="00F0732E" w:rsidRDefault="00B51749" w:rsidP="00B51749">
      <w:pPr>
        <w:rPr>
          <w:color w:val="FF0000"/>
          <w:sz w:val="28"/>
          <w:szCs w:val="28"/>
        </w:rPr>
      </w:pPr>
    </w:p>
    <w:p w:rsidR="00B51749" w:rsidRPr="00F0732E" w:rsidRDefault="00B51749" w:rsidP="00B51749">
      <w:pPr>
        <w:rPr>
          <w:sz w:val="28"/>
          <w:szCs w:val="28"/>
        </w:rPr>
      </w:pPr>
      <w:r w:rsidRPr="00F0732E">
        <w:rPr>
          <w:sz w:val="28"/>
          <w:szCs w:val="28"/>
        </w:rPr>
        <w:t>Slovenská technická univerzita venuje veľkú pozornosť systematickému zvyšovaniu kvalifikácie svojich pracovníkov. V uplynulom roku sa uskutočnilo 37 habilitačných konaní. Na zasadnutiach Vedeckej rady STU boli priebežne prerokované návrhy na vymenovanie za profesora, ktoré predkladali dekani fakúlt. Spolu bolo prerokovaných 11 návrhov. Schválené návrhy na vymenovanie za profesora boli predsedom VR STU postúpené na Ministerstvo školstva, vedy, výskumu a športu SR.</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Tabuľka 6.1: Prehľad návrhov na vymenovanie za profesora na VR STU podľa fakúlt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61"/>
        <w:gridCol w:w="814"/>
        <w:gridCol w:w="829"/>
        <w:gridCol w:w="1084"/>
        <w:gridCol w:w="791"/>
        <w:gridCol w:w="906"/>
        <w:gridCol w:w="886"/>
        <w:gridCol w:w="878"/>
      </w:tblGrid>
      <w:tr w:rsidR="00B51749" w:rsidRPr="00F0732E" w:rsidTr="00447572">
        <w:trPr>
          <w:trHeight w:val="286"/>
        </w:trPr>
        <w:tc>
          <w:tcPr>
            <w:tcW w:w="1296" w:type="dxa"/>
            <w:shd w:val="clear" w:color="auto" w:fill="auto"/>
          </w:tcPr>
          <w:p w:rsidR="00B51749" w:rsidRPr="00F0732E" w:rsidRDefault="00B51749" w:rsidP="00447572">
            <w:pPr>
              <w:rPr>
                <w:b/>
                <w:sz w:val="28"/>
                <w:szCs w:val="28"/>
              </w:rPr>
            </w:pPr>
            <w:r w:rsidRPr="00F0732E">
              <w:rPr>
                <w:b/>
                <w:sz w:val="28"/>
                <w:szCs w:val="28"/>
              </w:rPr>
              <w:t>VR STU</w:t>
            </w:r>
          </w:p>
        </w:tc>
        <w:tc>
          <w:tcPr>
            <w:tcW w:w="855" w:type="dxa"/>
            <w:shd w:val="clear" w:color="auto" w:fill="auto"/>
          </w:tcPr>
          <w:p w:rsidR="00B51749" w:rsidRPr="00F0732E" w:rsidRDefault="00B51749" w:rsidP="00447572">
            <w:pPr>
              <w:rPr>
                <w:b/>
                <w:sz w:val="28"/>
                <w:szCs w:val="28"/>
              </w:rPr>
            </w:pPr>
            <w:r w:rsidRPr="00F0732E">
              <w:rPr>
                <w:b/>
                <w:sz w:val="28"/>
                <w:szCs w:val="28"/>
              </w:rPr>
              <w:t>SvF</w:t>
            </w:r>
          </w:p>
        </w:tc>
        <w:tc>
          <w:tcPr>
            <w:tcW w:w="1018" w:type="dxa"/>
            <w:shd w:val="clear" w:color="auto" w:fill="auto"/>
          </w:tcPr>
          <w:p w:rsidR="00B51749" w:rsidRPr="00F0732E" w:rsidRDefault="00B51749" w:rsidP="00447572">
            <w:pPr>
              <w:rPr>
                <w:b/>
                <w:sz w:val="28"/>
                <w:szCs w:val="28"/>
              </w:rPr>
            </w:pPr>
            <w:r w:rsidRPr="00F0732E">
              <w:rPr>
                <w:b/>
                <w:sz w:val="28"/>
                <w:szCs w:val="28"/>
              </w:rPr>
              <w:t>SjF</w:t>
            </w:r>
          </w:p>
        </w:tc>
        <w:tc>
          <w:tcPr>
            <w:tcW w:w="1018" w:type="dxa"/>
            <w:shd w:val="clear" w:color="auto" w:fill="auto"/>
          </w:tcPr>
          <w:p w:rsidR="00B51749" w:rsidRPr="00F0732E" w:rsidRDefault="00B51749" w:rsidP="00447572">
            <w:pPr>
              <w:rPr>
                <w:b/>
                <w:sz w:val="28"/>
                <w:szCs w:val="28"/>
              </w:rPr>
            </w:pPr>
            <w:r w:rsidRPr="00F0732E">
              <w:rPr>
                <w:b/>
                <w:sz w:val="28"/>
                <w:szCs w:val="28"/>
              </w:rPr>
              <w:t>FEI</w:t>
            </w:r>
          </w:p>
        </w:tc>
        <w:tc>
          <w:tcPr>
            <w:tcW w:w="1023" w:type="dxa"/>
            <w:shd w:val="clear" w:color="auto" w:fill="auto"/>
          </w:tcPr>
          <w:p w:rsidR="00B51749" w:rsidRPr="00F0732E" w:rsidRDefault="00B51749" w:rsidP="00447572">
            <w:pPr>
              <w:rPr>
                <w:b/>
                <w:sz w:val="28"/>
                <w:szCs w:val="28"/>
              </w:rPr>
            </w:pPr>
            <w:r w:rsidRPr="00F0732E">
              <w:rPr>
                <w:b/>
                <w:sz w:val="28"/>
                <w:szCs w:val="28"/>
              </w:rPr>
              <w:t>FCHPT</w:t>
            </w:r>
          </w:p>
        </w:tc>
        <w:tc>
          <w:tcPr>
            <w:tcW w:w="1018" w:type="dxa"/>
            <w:shd w:val="clear" w:color="auto" w:fill="auto"/>
          </w:tcPr>
          <w:p w:rsidR="00B51749" w:rsidRPr="00F0732E" w:rsidRDefault="00B51749" w:rsidP="00447572">
            <w:pPr>
              <w:rPr>
                <w:b/>
                <w:sz w:val="28"/>
                <w:szCs w:val="28"/>
              </w:rPr>
            </w:pPr>
            <w:r w:rsidRPr="00F0732E">
              <w:rPr>
                <w:b/>
                <w:sz w:val="28"/>
                <w:szCs w:val="28"/>
              </w:rPr>
              <w:t>FA</w:t>
            </w:r>
          </w:p>
        </w:tc>
        <w:tc>
          <w:tcPr>
            <w:tcW w:w="1020" w:type="dxa"/>
            <w:shd w:val="clear" w:color="auto" w:fill="auto"/>
          </w:tcPr>
          <w:p w:rsidR="00B51749" w:rsidRPr="00F0732E" w:rsidRDefault="00B51749" w:rsidP="00447572">
            <w:pPr>
              <w:rPr>
                <w:b/>
                <w:sz w:val="28"/>
                <w:szCs w:val="28"/>
              </w:rPr>
            </w:pPr>
            <w:r w:rsidRPr="00F0732E">
              <w:rPr>
                <w:b/>
                <w:sz w:val="28"/>
                <w:szCs w:val="28"/>
              </w:rPr>
              <w:t>MTF</w:t>
            </w:r>
          </w:p>
        </w:tc>
        <w:tc>
          <w:tcPr>
            <w:tcW w:w="1020" w:type="dxa"/>
            <w:shd w:val="clear" w:color="auto" w:fill="auto"/>
          </w:tcPr>
          <w:p w:rsidR="00B51749" w:rsidRPr="00F0732E" w:rsidRDefault="00B51749" w:rsidP="00447572">
            <w:pPr>
              <w:rPr>
                <w:b/>
                <w:sz w:val="28"/>
                <w:szCs w:val="28"/>
              </w:rPr>
            </w:pPr>
            <w:r w:rsidRPr="00F0732E">
              <w:rPr>
                <w:b/>
                <w:sz w:val="28"/>
                <w:szCs w:val="28"/>
              </w:rPr>
              <w:t>FIIT</w:t>
            </w:r>
          </w:p>
        </w:tc>
        <w:tc>
          <w:tcPr>
            <w:tcW w:w="1020" w:type="dxa"/>
            <w:shd w:val="clear" w:color="auto" w:fill="auto"/>
          </w:tcPr>
          <w:p w:rsidR="00B51749" w:rsidRPr="00F0732E" w:rsidRDefault="00B51749" w:rsidP="00447572">
            <w:pPr>
              <w:rPr>
                <w:b/>
                <w:sz w:val="28"/>
                <w:szCs w:val="28"/>
              </w:rPr>
            </w:pPr>
            <w:r w:rsidRPr="00F0732E">
              <w:rPr>
                <w:b/>
                <w:sz w:val="28"/>
                <w:szCs w:val="28"/>
              </w:rPr>
              <w:t>STU</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19.3.2014</w:t>
            </w:r>
          </w:p>
        </w:tc>
        <w:tc>
          <w:tcPr>
            <w:tcW w:w="855"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r w:rsidRPr="00F0732E">
              <w:rPr>
                <w:sz w:val="28"/>
                <w:szCs w:val="28"/>
              </w:rPr>
              <w:t>1</w:t>
            </w:r>
          </w:p>
        </w:tc>
        <w:tc>
          <w:tcPr>
            <w:tcW w:w="1023"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1</w:t>
            </w:r>
          </w:p>
        </w:tc>
        <w:tc>
          <w:tcPr>
            <w:tcW w:w="1020"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3</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14.5.2014</w:t>
            </w:r>
          </w:p>
        </w:tc>
        <w:tc>
          <w:tcPr>
            <w:tcW w:w="855"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p>
        </w:tc>
        <w:tc>
          <w:tcPr>
            <w:tcW w:w="1023"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1</w:t>
            </w:r>
          </w:p>
        </w:tc>
        <w:tc>
          <w:tcPr>
            <w:tcW w:w="1020"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3</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18.6.2014</w:t>
            </w:r>
          </w:p>
        </w:tc>
        <w:tc>
          <w:tcPr>
            <w:tcW w:w="855"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r w:rsidRPr="00F0732E">
              <w:rPr>
                <w:sz w:val="28"/>
                <w:szCs w:val="28"/>
              </w:rPr>
              <w:t>1</w:t>
            </w:r>
          </w:p>
        </w:tc>
        <w:tc>
          <w:tcPr>
            <w:tcW w:w="1023"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2</w:t>
            </w:r>
          </w:p>
        </w:tc>
        <w:tc>
          <w:tcPr>
            <w:tcW w:w="1020"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4</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29.10.2014</w:t>
            </w:r>
          </w:p>
        </w:tc>
        <w:tc>
          <w:tcPr>
            <w:tcW w:w="855"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p>
        </w:tc>
        <w:tc>
          <w:tcPr>
            <w:tcW w:w="1018" w:type="dxa"/>
            <w:shd w:val="clear" w:color="auto" w:fill="auto"/>
          </w:tcPr>
          <w:p w:rsidR="00B51749" w:rsidRPr="00F0732E" w:rsidRDefault="00B51749" w:rsidP="00447572">
            <w:pPr>
              <w:jc w:val="center"/>
              <w:rPr>
                <w:sz w:val="28"/>
                <w:szCs w:val="28"/>
              </w:rPr>
            </w:pPr>
          </w:p>
        </w:tc>
        <w:tc>
          <w:tcPr>
            <w:tcW w:w="1023"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1</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Spolu</w:t>
            </w:r>
          </w:p>
        </w:tc>
        <w:tc>
          <w:tcPr>
            <w:tcW w:w="855" w:type="dxa"/>
            <w:shd w:val="clear" w:color="auto" w:fill="auto"/>
          </w:tcPr>
          <w:p w:rsidR="00B51749" w:rsidRPr="00F0732E" w:rsidRDefault="00B51749" w:rsidP="00447572">
            <w:pPr>
              <w:jc w:val="center"/>
              <w:rPr>
                <w:sz w:val="28"/>
                <w:szCs w:val="28"/>
              </w:rPr>
            </w:pPr>
            <w:r w:rsidRPr="00F0732E">
              <w:rPr>
                <w:sz w:val="28"/>
                <w:szCs w:val="28"/>
              </w:rPr>
              <w:t>2</w:t>
            </w:r>
          </w:p>
        </w:tc>
        <w:tc>
          <w:tcPr>
            <w:tcW w:w="1018" w:type="dxa"/>
            <w:shd w:val="clear" w:color="auto" w:fill="auto"/>
          </w:tcPr>
          <w:p w:rsidR="00B51749" w:rsidRPr="00F0732E" w:rsidRDefault="00B51749" w:rsidP="00447572">
            <w:pPr>
              <w:jc w:val="center"/>
              <w:rPr>
                <w:sz w:val="28"/>
                <w:szCs w:val="28"/>
              </w:rPr>
            </w:pPr>
            <w:r w:rsidRPr="00F0732E">
              <w:rPr>
                <w:sz w:val="28"/>
                <w:szCs w:val="28"/>
              </w:rPr>
              <w:t>1</w:t>
            </w:r>
          </w:p>
        </w:tc>
        <w:tc>
          <w:tcPr>
            <w:tcW w:w="1018" w:type="dxa"/>
            <w:shd w:val="clear" w:color="auto" w:fill="auto"/>
          </w:tcPr>
          <w:p w:rsidR="00B51749" w:rsidRPr="00F0732E" w:rsidRDefault="00B51749" w:rsidP="00447572">
            <w:pPr>
              <w:jc w:val="center"/>
              <w:rPr>
                <w:sz w:val="28"/>
                <w:szCs w:val="28"/>
              </w:rPr>
            </w:pPr>
            <w:r w:rsidRPr="00F0732E">
              <w:rPr>
                <w:sz w:val="28"/>
                <w:szCs w:val="28"/>
              </w:rPr>
              <w:t>2</w:t>
            </w:r>
          </w:p>
        </w:tc>
        <w:tc>
          <w:tcPr>
            <w:tcW w:w="1023" w:type="dxa"/>
            <w:shd w:val="clear" w:color="auto" w:fill="auto"/>
          </w:tcPr>
          <w:p w:rsidR="00B51749" w:rsidRPr="00F0732E" w:rsidRDefault="00B51749" w:rsidP="00447572">
            <w:pPr>
              <w:jc w:val="center"/>
              <w:rPr>
                <w:sz w:val="28"/>
                <w:szCs w:val="28"/>
              </w:rPr>
            </w:pPr>
            <w:r w:rsidRPr="00F0732E">
              <w:rPr>
                <w:sz w:val="28"/>
                <w:szCs w:val="28"/>
              </w:rPr>
              <w:t>2</w:t>
            </w:r>
          </w:p>
        </w:tc>
        <w:tc>
          <w:tcPr>
            <w:tcW w:w="1018" w:type="dxa"/>
            <w:shd w:val="clear" w:color="auto" w:fill="auto"/>
          </w:tcPr>
          <w:p w:rsidR="00B51749" w:rsidRPr="00F0732E" w:rsidRDefault="00B51749" w:rsidP="00447572">
            <w:pPr>
              <w:jc w:val="center"/>
              <w:rPr>
                <w:sz w:val="28"/>
                <w:szCs w:val="28"/>
              </w:rPr>
            </w:pPr>
          </w:p>
        </w:tc>
        <w:tc>
          <w:tcPr>
            <w:tcW w:w="1020" w:type="dxa"/>
            <w:shd w:val="clear" w:color="auto" w:fill="auto"/>
          </w:tcPr>
          <w:p w:rsidR="00B51749" w:rsidRPr="00F0732E" w:rsidRDefault="00B51749" w:rsidP="00447572">
            <w:pPr>
              <w:jc w:val="center"/>
              <w:rPr>
                <w:sz w:val="28"/>
                <w:szCs w:val="28"/>
              </w:rPr>
            </w:pPr>
            <w:r w:rsidRPr="00F0732E">
              <w:rPr>
                <w:sz w:val="28"/>
                <w:szCs w:val="28"/>
              </w:rPr>
              <w:t>4</w:t>
            </w:r>
          </w:p>
        </w:tc>
        <w:tc>
          <w:tcPr>
            <w:tcW w:w="1020" w:type="dxa"/>
            <w:shd w:val="clear" w:color="auto" w:fill="auto"/>
          </w:tcPr>
          <w:p w:rsidR="00B51749" w:rsidRPr="00F0732E" w:rsidRDefault="00B51749" w:rsidP="00447572">
            <w:pPr>
              <w:jc w:val="center"/>
              <w:rPr>
                <w:sz w:val="28"/>
                <w:szCs w:val="28"/>
              </w:rPr>
            </w:pPr>
            <w:r w:rsidRPr="00F0732E">
              <w:rPr>
                <w:sz w:val="28"/>
                <w:szCs w:val="28"/>
              </w:rPr>
              <w:t>0</w:t>
            </w:r>
          </w:p>
        </w:tc>
        <w:tc>
          <w:tcPr>
            <w:tcW w:w="1020" w:type="dxa"/>
            <w:shd w:val="clear" w:color="auto" w:fill="auto"/>
          </w:tcPr>
          <w:p w:rsidR="00B51749" w:rsidRPr="00F0732E" w:rsidRDefault="00B51749" w:rsidP="00447572">
            <w:pPr>
              <w:jc w:val="center"/>
              <w:rPr>
                <w:sz w:val="28"/>
                <w:szCs w:val="28"/>
              </w:rPr>
            </w:pPr>
            <w:r w:rsidRPr="00F0732E">
              <w:rPr>
                <w:sz w:val="28"/>
                <w:szCs w:val="28"/>
              </w:rPr>
              <w:t>11</w:t>
            </w:r>
          </w:p>
        </w:tc>
      </w:tr>
    </w:tbl>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Kompletný zoznam vymenovaných profesorov uvádza </w:t>
      </w:r>
      <w:r w:rsidR="003D2012">
        <w:rPr>
          <w:sz w:val="28"/>
          <w:szCs w:val="28"/>
        </w:rPr>
        <w:t>Tabuľka č. 7 tabuľkovej prílohy výročnej správy.</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V roku 2014 rektor STU vymenoval spolu 37 docentov z toho 3 docenti boli z iných univerzít.</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Tabuľka 6.2: Počty vymenovaných docentov podľa súčastí 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29"/>
        <w:gridCol w:w="682"/>
        <w:gridCol w:w="705"/>
        <w:gridCol w:w="1084"/>
        <w:gridCol w:w="649"/>
        <w:gridCol w:w="819"/>
        <w:gridCol w:w="789"/>
        <w:gridCol w:w="715"/>
        <w:gridCol w:w="778"/>
      </w:tblGrid>
      <w:tr w:rsidR="00B51749" w:rsidRPr="00F0732E" w:rsidTr="00447572">
        <w:trPr>
          <w:trHeight w:val="77"/>
        </w:trPr>
        <w:tc>
          <w:tcPr>
            <w:tcW w:w="1296" w:type="dxa"/>
            <w:shd w:val="clear" w:color="auto" w:fill="auto"/>
          </w:tcPr>
          <w:p w:rsidR="00B51749" w:rsidRPr="00F0732E" w:rsidRDefault="00B51749" w:rsidP="00447572">
            <w:pPr>
              <w:jc w:val="center"/>
              <w:rPr>
                <w:b/>
                <w:sz w:val="28"/>
                <w:szCs w:val="28"/>
              </w:rPr>
            </w:pPr>
            <w:r w:rsidRPr="00F0732E">
              <w:rPr>
                <w:b/>
                <w:sz w:val="28"/>
                <w:szCs w:val="28"/>
              </w:rPr>
              <w:t>Docenti</w:t>
            </w:r>
          </w:p>
        </w:tc>
        <w:tc>
          <w:tcPr>
            <w:tcW w:w="877" w:type="dxa"/>
            <w:shd w:val="clear" w:color="auto" w:fill="auto"/>
          </w:tcPr>
          <w:p w:rsidR="00B51749" w:rsidRPr="00F0732E" w:rsidRDefault="00B51749" w:rsidP="00447572">
            <w:pPr>
              <w:jc w:val="center"/>
              <w:rPr>
                <w:b/>
                <w:sz w:val="28"/>
                <w:szCs w:val="28"/>
              </w:rPr>
            </w:pPr>
            <w:r w:rsidRPr="00F0732E">
              <w:rPr>
                <w:b/>
                <w:sz w:val="28"/>
                <w:szCs w:val="28"/>
              </w:rPr>
              <w:t>SvF</w:t>
            </w:r>
          </w:p>
        </w:tc>
        <w:tc>
          <w:tcPr>
            <w:tcW w:w="870" w:type="dxa"/>
            <w:shd w:val="clear" w:color="auto" w:fill="auto"/>
          </w:tcPr>
          <w:p w:rsidR="00B51749" w:rsidRPr="00F0732E" w:rsidRDefault="00B51749" w:rsidP="00447572">
            <w:pPr>
              <w:jc w:val="center"/>
              <w:rPr>
                <w:b/>
                <w:sz w:val="28"/>
                <w:szCs w:val="28"/>
              </w:rPr>
            </w:pPr>
            <w:r w:rsidRPr="00F0732E">
              <w:rPr>
                <w:b/>
                <w:sz w:val="28"/>
                <w:szCs w:val="28"/>
              </w:rPr>
              <w:t>SjF</w:t>
            </w:r>
          </w:p>
        </w:tc>
        <w:tc>
          <w:tcPr>
            <w:tcW w:w="874" w:type="dxa"/>
            <w:shd w:val="clear" w:color="auto" w:fill="auto"/>
          </w:tcPr>
          <w:p w:rsidR="00B51749" w:rsidRPr="00F0732E" w:rsidRDefault="00B51749" w:rsidP="00447572">
            <w:pPr>
              <w:jc w:val="center"/>
              <w:rPr>
                <w:b/>
                <w:sz w:val="28"/>
                <w:szCs w:val="28"/>
              </w:rPr>
            </w:pPr>
            <w:r w:rsidRPr="00F0732E">
              <w:rPr>
                <w:b/>
                <w:sz w:val="28"/>
                <w:szCs w:val="28"/>
              </w:rPr>
              <w:t>FEI</w:t>
            </w:r>
          </w:p>
        </w:tc>
        <w:tc>
          <w:tcPr>
            <w:tcW w:w="963" w:type="dxa"/>
            <w:shd w:val="clear" w:color="auto" w:fill="auto"/>
          </w:tcPr>
          <w:p w:rsidR="00B51749" w:rsidRPr="00F0732E" w:rsidRDefault="00B51749" w:rsidP="00447572">
            <w:pPr>
              <w:jc w:val="center"/>
              <w:rPr>
                <w:b/>
                <w:sz w:val="28"/>
                <w:szCs w:val="28"/>
              </w:rPr>
            </w:pPr>
            <w:r w:rsidRPr="00F0732E">
              <w:rPr>
                <w:b/>
                <w:sz w:val="28"/>
                <w:szCs w:val="28"/>
              </w:rPr>
              <w:t>FCHPT</w:t>
            </w:r>
          </w:p>
        </w:tc>
        <w:tc>
          <w:tcPr>
            <w:tcW w:w="866" w:type="dxa"/>
            <w:shd w:val="clear" w:color="auto" w:fill="auto"/>
          </w:tcPr>
          <w:p w:rsidR="00B51749" w:rsidRPr="00F0732E" w:rsidRDefault="00B51749" w:rsidP="00447572">
            <w:pPr>
              <w:jc w:val="center"/>
              <w:rPr>
                <w:b/>
                <w:sz w:val="28"/>
                <w:szCs w:val="28"/>
              </w:rPr>
            </w:pPr>
            <w:r w:rsidRPr="00F0732E">
              <w:rPr>
                <w:b/>
                <w:sz w:val="28"/>
                <w:szCs w:val="28"/>
              </w:rPr>
              <w:t>FA</w:t>
            </w:r>
          </w:p>
        </w:tc>
        <w:tc>
          <w:tcPr>
            <w:tcW w:w="892" w:type="dxa"/>
            <w:shd w:val="clear" w:color="auto" w:fill="auto"/>
          </w:tcPr>
          <w:p w:rsidR="00B51749" w:rsidRPr="00F0732E" w:rsidRDefault="00B51749" w:rsidP="00447572">
            <w:pPr>
              <w:jc w:val="center"/>
              <w:rPr>
                <w:b/>
                <w:sz w:val="28"/>
                <w:szCs w:val="28"/>
              </w:rPr>
            </w:pPr>
            <w:r w:rsidRPr="00F0732E">
              <w:rPr>
                <w:b/>
                <w:sz w:val="28"/>
                <w:szCs w:val="28"/>
              </w:rPr>
              <w:t>MTF</w:t>
            </w:r>
          </w:p>
        </w:tc>
        <w:tc>
          <w:tcPr>
            <w:tcW w:w="885" w:type="dxa"/>
            <w:shd w:val="clear" w:color="auto" w:fill="auto"/>
          </w:tcPr>
          <w:p w:rsidR="00B51749" w:rsidRPr="00F0732E" w:rsidRDefault="00B51749" w:rsidP="00447572">
            <w:pPr>
              <w:jc w:val="center"/>
              <w:rPr>
                <w:b/>
                <w:sz w:val="28"/>
                <w:szCs w:val="28"/>
              </w:rPr>
            </w:pPr>
            <w:r w:rsidRPr="00F0732E">
              <w:rPr>
                <w:b/>
                <w:sz w:val="28"/>
                <w:szCs w:val="28"/>
              </w:rPr>
              <w:t>FIIT</w:t>
            </w:r>
          </w:p>
        </w:tc>
        <w:tc>
          <w:tcPr>
            <w:tcW w:w="878" w:type="dxa"/>
            <w:shd w:val="clear" w:color="auto" w:fill="auto"/>
          </w:tcPr>
          <w:p w:rsidR="00B51749" w:rsidRPr="00F0732E" w:rsidRDefault="00B51749" w:rsidP="00447572">
            <w:pPr>
              <w:jc w:val="center"/>
              <w:rPr>
                <w:b/>
                <w:sz w:val="28"/>
                <w:szCs w:val="28"/>
              </w:rPr>
            </w:pPr>
            <w:r w:rsidRPr="00F0732E">
              <w:rPr>
                <w:b/>
                <w:sz w:val="28"/>
                <w:szCs w:val="28"/>
              </w:rPr>
              <w:t>ÚM</w:t>
            </w:r>
          </w:p>
        </w:tc>
        <w:tc>
          <w:tcPr>
            <w:tcW w:w="887" w:type="dxa"/>
            <w:shd w:val="clear" w:color="auto" w:fill="auto"/>
          </w:tcPr>
          <w:p w:rsidR="00B51749" w:rsidRPr="00F0732E" w:rsidRDefault="00B51749" w:rsidP="00447572">
            <w:pPr>
              <w:jc w:val="center"/>
              <w:rPr>
                <w:b/>
                <w:sz w:val="28"/>
                <w:szCs w:val="28"/>
              </w:rPr>
            </w:pPr>
            <w:r w:rsidRPr="00F0732E">
              <w:rPr>
                <w:b/>
                <w:sz w:val="28"/>
                <w:szCs w:val="28"/>
              </w:rPr>
              <w:t>STU</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5.3.2014</w:t>
            </w:r>
          </w:p>
        </w:tc>
        <w:tc>
          <w:tcPr>
            <w:tcW w:w="877" w:type="dxa"/>
            <w:shd w:val="clear" w:color="auto" w:fill="auto"/>
          </w:tcPr>
          <w:p w:rsidR="00B51749" w:rsidRPr="00F0732E" w:rsidRDefault="00B51749" w:rsidP="00447572">
            <w:pPr>
              <w:jc w:val="center"/>
              <w:rPr>
                <w:sz w:val="28"/>
                <w:szCs w:val="28"/>
              </w:rPr>
            </w:pPr>
          </w:p>
        </w:tc>
        <w:tc>
          <w:tcPr>
            <w:tcW w:w="870" w:type="dxa"/>
            <w:shd w:val="clear" w:color="auto" w:fill="auto"/>
          </w:tcPr>
          <w:p w:rsidR="00B51749" w:rsidRPr="00F0732E" w:rsidRDefault="00B51749" w:rsidP="00447572">
            <w:pPr>
              <w:jc w:val="center"/>
              <w:rPr>
                <w:sz w:val="28"/>
                <w:szCs w:val="28"/>
              </w:rPr>
            </w:pPr>
          </w:p>
        </w:tc>
        <w:tc>
          <w:tcPr>
            <w:tcW w:w="874" w:type="dxa"/>
            <w:shd w:val="clear" w:color="auto" w:fill="auto"/>
          </w:tcPr>
          <w:p w:rsidR="00B51749" w:rsidRPr="00F0732E" w:rsidRDefault="00B51749" w:rsidP="00447572">
            <w:pPr>
              <w:jc w:val="center"/>
              <w:rPr>
                <w:sz w:val="28"/>
                <w:szCs w:val="28"/>
              </w:rPr>
            </w:pPr>
            <w:r w:rsidRPr="00F0732E">
              <w:rPr>
                <w:sz w:val="28"/>
                <w:szCs w:val="28"/>
              </w:rPr>
              <w:t>6</w:t>
            </w:r>
          </w:p>
        </w:tc>
        <w:tc>
          <w:tcPr>
            <w:tcW w:w="963" w:type="dxa"/>
            <w:shd w:val="clear" w:color="auto" w:fill="auto"/>
          </w:tcPr>
          <w:p w:rsidR="00B51749" w:rsidRPr="00F0732E" w:rsidRDefault="00B51749" w:rsidP="00447572">
            <w:pPr>
              <w:jc w:val="center"/>
              <w:rPr>
                <w:sz w:val="28"/>
                <w:szCs w:val="28"/>
              </w:rPr>
            </w:pPr>
          </w:p>
        </w:tc>
        <w:tc>
          <w:tcPr>
            <w:tcW w:w="866" w:type="dxa"/>
            <w:shd w:val="clear" w:color="auto" w:fill="auto"/>
          </w:tcPr>
          <w:p w:rsidR="00B51749" w:rsidRPr="00F0732E" w:rsidRDefault="00B51749" w:rsidP="00447572">
            <w:pPr>
              <w:jc w:val="center"/>
              <w:rPr>
                <w:sz w:val="28"/>
                <w:szCs w:val="28"/>
              </w:rPr>
            </w:pPr>
          </w:p>
        </w:tc>
        <w:tc>
          <w:tcPr>
            <w:tcW w:w="892" w:type="dxa"/>
            <w:shd w:val="clear" w:color="auto" w:fill="auto"/>
          </w:tcPr>
          <w:p w:rsidR="00B51749" w:rsidRPr="00F0732E" w:rsidRDefault="00B51749" w:rsidP="00447572">
            <w:pPr>
              <w:jc w:val="center"/>
              <w:rPr>
                <w:sz w:val="28"/>
                <w:szCs w:val="28"/>
              </w:rPr>
            </w:pPr>
          </w:p>
        </w:tc>
        <w:tc>
          <w:tcPr>
            <w:tcW w:w="885" w:type="dxa"/>
            <w:shd w:val="clear" w:color="auto" w:fill="auto"/>
          </w:tcPr>
          <w:p w:rsidR="00B51749" w:rsidRPr="00F0732E" w:rsidRDefault="00B51749" w:rsidP="00447572">
            <w:pPr>
              <w:jc w:val="center"/>
              <w:rPr>
                <w:sz w:val="28"/>
                <w:szCs w:val="28"/>
              </w:rPr>
            </w:pPr>
          </w:p>
        </w:tc>
        <w:tc>
          <w:tcPr>
            <w:tcW w:w="878" w:type="dxa"/>
            <w:shd w:val="clear" w:color="auto" w:fill="auto"/>
          </w:tcPr>
          <w:p w:rsidR="00B51749" w:rsidRPr="00F0732E" w:rsidRDefault="00B51749" w:rsidP="00447572">
            <w:pPr>
              <w:jc w:val="center"/>
              <w:rPr>
                <w:sz w:val="28"/>
                <w:szCs w:val="28"/>
              </w:rPr>
            </w:pPr>
          </w:p>
        </w:tc>
        <w:tc>
          <w:tcPr>
            <w:tcW w:w="887" w:type="dxa"/>
            <w:shd w:val="clear" w:color="auto" w:fill="auto"/>
          </w:tcPr>
          <w:p w:rsidR="00B51749" w:rsidRPr="00F0732E" w:rsidRDefault="00B51749" w:rsidP="00447572">
            <w:pPr>
              <w:jc w:val="center"/>
              <w:rPr>
                <w:sz w:val="28"/>
                <w:szCs w:val="28"/>
              </w:rPr>
            </w:pPr>
            <w:r w:rsidRPr="00F0732E">
              <w:rPr>
                <w:sz w:val="28"/>
                <w:szCs w:val="28"/>
              </w:rPr>
              <w:t>6</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2.7.2014</w:t>
            </w:r>
          </w:p>
        </w:tc>
        <w:tc>
          <w:tcPr>
            <w:tcW w:w="877" w:type="dxa"/>
            <w:shd w:val="clear" w:color="auto" w:fill="auto"/>
          </w:tcPr>
          <w:p w:rsidR="00B51749" w:rsidRPr="00F0732E" w:rsidRDefault="00B51749" w:rsidP="00447572">
            <w:pPr>
              <w:jc w:val="center"/>
              <w:rPr>
                <w:sz w:val="28"/>
                <w:szCs w:val="28"/>
              </w:rPr>
            </w:pPr>
            <w:r w:rsidRPr="00F0732E">
              <w:rPr>
                <w:sz w:val="28"/>
                <w:szCs w:val="28"/>
              </w:rPr>
              <w:t>6</w:t>
            </w:r>
          </w:p>
        </w:tc>
        <w:tc>
          <w:tcPr>
            <w:tcW w:w="870" w:type="dxa"/>
            <w:shd w:val="clear" w:color="auto" w:fill="auto"/>
          </w:tcPr>
          <w:p w:rsidR="00B51749" w:rsidRPr="00F0732E" w:rsidRDefault="00B51749" w:rsidP="00447572">
            <w:pPr>
              <w:jc w:val="center"/>
              <w:rPr>
                <w:sz w:val="28"/>
                <w:szCs w:val="28"/>
              </w:rPr>
            </w:pPr>
          </w:p>
        </w:tc>
        <w:tc>
          <w:tcPr>
            <w:tcW w:w="874" w:type="dxa"/>
            <w:shd w:val="clear" w:color="auto" w:fill="auto"/>
          </w:tcPr>
          <w:p w:rsidR="00B51749" w:rsidRPr="00F0732E" w:rsidRDefault="00B51749" w:rsidP="00447572">
            <w:pPr>
              <w:jc w:val="center"/>
              <w:rPr>
                <w:sz w:val="28"/>
                <w:szCs w:val="28"/>
              </w:rPr>
            </w:pPr>
          </w:p>
        </w:tc>
        <w:tc>
          <w:tcPr>
            <w:tcW w:w="963" w:type="dxa"/>
            <w:shd w:val="clear" w:color="auto" w:fill="auto"/>
          </w:tcPr>
          <w:p w:rsidR="00B51749" w:rsidRPr="00F0732E" w:rsidRDefault="00B51749" w:rsidP="00447572">
            <w:pPr>
              <w:jc w:val="center"/>
              <w:rPr>
                <w:sz w:val="28"/>
                <w:szCs w:val="28"/>
              </w:rPr>
            </w:pPr>
            <w:r w:rsidRPr="00F0732E">
              <w:rPr>
                <w:sz w:val="28"/>
                <w:szCs w:val="28"/>
              </w:rPr>
              <w:t>1</w:t>
            </w:r>
          </w:p>
        </w:tc>
        <w:tc>
          <w:tcPr>
            <w:tcW w:w="866" w:type="dxa"/>
            <w:shd w:val="clear" w:color="auto" w:fill="auto"/>
          </w:tcPr>
          <w:p w:rsidR="00B51749" w:rsidRPr="00F0732E" w:rsidRDefault="00B51749" w:rsidP="00447572">
            <w:pPr>
              <w:jc w:val="center"/>
              <w:rPr>
                <w:sz w:val="28"/>
                <w:szCs w:val="28"/>
              </w:rPr>
            </w:pPr>
            <w:r w:rsidRPr="00F0732E">
              <w:rPr>
                <w:sz w:val="28"/>
                <w:szCs w:val="28"/>
              </w:rPr>
              <w:t>4</w:t>
            </w:r>
          </w:p>
        </w:tc>
        <w:tc>
          <w:tcPr>
            <w:tcW w:w="892" w:type="dxa"/>
            <w:shd w:val="clear" w:color="auto" w:fill="auto"/>
          </w:tcPr>
          <w:p w:rsidR="00B51749" w:rsidRPr="00F0732E" w:rsidRDefault="00B51749" w:rsidP="00447572">
            <w:pPr>
              <w:jc w:val="center"/>
              <w:rPr>
                <w:sz w:val="28"/>
                <w:szCs w:val="28"/>
              </w:rPr>
            </w:pPr>
            <w:r w:rsidRPr="00F0732E">
              <w:rPr>
                <w:sz w:val="28"/>
                <w:szCs w:val="28"/>
              </w:rPr>
              <w:t>3</w:t>
            </w:r>
          </w:p>
        </w:tc>
        <w:tc>
          <w:tcPr>
            <w:tcW w:w="885" w:type="dxa"/>
            <w:shd w:val="clear" w:color="auto" w:fill="auto"/>
          </w:tcPr>
          <w:p w:rsidR="00B51749" w:rsidRPr="00F0732E" w:rsidRDefault="00B51749" w:rsidP="00447572">
            <w:pPr>
              <w:jc w:val="center"/>
              <w:rPr>
                <w:sz w:val="28"/>
                <w:szCs w:val="28"/>
              </w:rPr>
            </w:pPr>
          </w:p>
        </w:tc>
        <w:tc>
          <w:tcPr>
            <w:tcW w:w="878" w:type="dxa"/>
            <w:shd w:val="clear" w:color="auto" w:fill="auto"/>
          </w:tcPr>
          <w:p w:rsidR="00B51749" w:rsidRPr="00F0732E" w:rsidRDefault="00B51749" w:rsidP="00447572">
            <w:pPr>
              <w:jc w:val="center"/>
              <w:rPr>
                <w:sz w:val="28"/>
                <w:szCs w:val="28"/>
              </w:rPr>
            </w:pPr>
          </w:p>
        </w:tc>
        <w:tc>
          <w:tcPr>
            <w:tcW w:w="887" w:type="dxa"/>
            <w:shd w:val="clear" w:color="auto" w:fill="auto"/>
          </w:tcPr>
          <w:p w:rsidR="00B51749" w:rsidRPr="00F0732E" w:rsidRDefault="00B51749" w:rsidP="00447572">
            <w:pPr>
              <w:jc w:val="center"/>
              <w:rPr>
                <w:sz w:val="28"/>
                <w:szCs w:val="28"/>
              </w:rPr>
            </w:pPr>
            <w:r w:rsidRPr="00F0732E">
              <w:rPr>
                <w:sz w:val="28"/>
                <w:szCs w:val="28"/>
              </w:rPr>
              <w:t>14</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10.12.2014</w:t>
            </w:r>
          </w:p>
        </w:tc>
        <w:tc>
          <w:tcPr>
            <w:tcW w:w="877" w:type="dxa"/>
            <w:shd w:val="clear" w:color="auto" w:fill="auto"/>
          </w:tcPr>
          <w:p w:rsidR="00B51749" w:rsidRPr="00F0732E" w:rsidRDefault="00B51749" w:rsidP="00447572">
            <w:pPr>
              <w:jc w:val="center"/>
              <w:rPr>
                <w:sz w:val="28"/>
                <w:szCs w:val="28"/>
              </w:rPr>
            </w:pPr>
            <w:r w:rsidRPr="00F0732E">
              <w:rPr>
                <w:sz w:val="28"/>
                <w:szCs w:val="28"/>
              </w:rPr>
              <w:t>4</w:t>
            </w:r>
          </w:p>
        </w:tc>
        <w:tc>
          <w:tcPr>
            <w:tcW w:w="870" w:type="dxa"/>
            <w:shd w:val="clear" w:color="auto" w:fill="auto"/>
          </w:tcPr>
          <w:p w:rsidR="00B51749" w:rsidRPr="00F0732E" w:rsidRDefault="00B51749" w:rsidP="00447572">
            <w:pPr>
              <w:jc w:val="center"/>
              <w:rPr>
                <w:sz w:val="28"/>
                <w:szCs w:val="28"/>
              </w:rPr>
            </w:pPr>
            <w:r w:rsidRPr="00F0732E">
              <w:rPr>
                <w:sz w:val="28"/>
                <w:szCs w:val="28"/>
              </w:rPr>
              <w:t>2</w:t>
            </w:r>
          </w:p>
        </w:tc>
        <w:tc>
          <w:tcPr>
            <w:tcW w:w="874" w:type="dxa"/>
            <w:shd w:val="clear" w:color="auto" w:fill="auto"/>
          </w:tcPr>
          <w:p w:rsidR="00B51749" w:rsidRPr="00F0732E" w:rsidRDefault="00B51749" w:rsidP="00447572">
            <w:pPr>
              <w:jc w:val="center"/>
              <w:rPr>
                <w:sz w:val="28"/>
                <w:szCs w:val="28"/>
              </w:rPr>
            </w:pPr>
            <w:r w:rsidRPr="00F0732E">
              <w:rPr>
                <w:sz w:val="28"/>
                <w:szCs w:val="28"/>
              </w:rPr>
              <w:t>1</w:t>
            </w:r>
          </w:p>
        </w:tc>
        <w:tc>
          <w:tcPr>
            <w:tcW w:w="963" w:type="dxa"/>
            <w:shd w:val="clear" w:color="auto" w:fill="auto"/>
          </w:tcPr>
          <w:p w:rsidR="00B51749" w:rsidRPr="00F0732E" w:rsidRDefault="00B51749" w:rsidP="00447572">
            <w:pPr>
              <w:jc w:val="center"/>
              <w:rPr>
                <w:sz w:val="28"/>
                <w:szCs w:val="28"/>
              </w:rPr>
            </w:pPr>
            <w:r w:rsidRPr="00F0732E">
              <w:rPr>
                <w:sz w:val="28"/>
                <w:szCs w:val="28"/>
              </w:rPr>
              <w:t>3</w:t>
            </w:r>
          </w:p>
        </w:tc>
        <w:tc>
          <w:tcPr>
            <w:tcW w:w="866" w:type="dxa"/>
            <w:shd w:val="clear" w:color="auto" w:fill="auto"/>
          </w:tcPr>
          <w:p w:rsidR="00B51749" w:rsidRPr="00F0732E" w:rsidRDefault="00B51749" w:rsidP="00447572">
            <w:pPr>
              <w:jc w:val="center"/>
              <w:rPr>
                <w:sz w:val="28"/>
                <w:szCs w:val="28"/>
              </w:rPr>
            </w:pPr>
            <w:r w:rsidRPr="00F0732E">
              <w:rPr>
                <w:sz w:val="28"/>
                <w:szCs w:val="28"/>
              </w:rPr>
              <w:t>5</w:t>
            </w:r>
          </w:p>
        </w:tc>
        <w:tc>
          <w:tcPr>
            <w:tcW w:w="892" w:type="dxa"/>
            <w:shd w:val="clear" w:color="auto" w:fill="auto"/>
          </w:tcPr>
          <w:p w:rsidR="00B51749" w:rsidRPr="00F0732E" w:rsidRDefault="00B51749" w:rsidP="00447572">
            <w:pPr>
              <w:jc w:val="center"/>
              <w:rPr>
                <w:sz w:val="28"/>
                <w:szCs w:val="28"/>
              </w:rPr>
            </w:pPr>
            <w:r w:rsidRPr="00F0732E">
              <w:rPr>
                <w:sz w:val="28"/>
                <w:szCs w:val="28"/>
              </w:rPr>
              <w:t>2</w:t>
            </w:r>
          </w:p>
        </w:tc>
        <w:tc>
          <w:tcPr>
            <w:tcW w:w="885" w:type="dxa"/>
            <w:shd w:val="clear" w:color="auto" w:fill="auto"/>
          </w:tcPr>
          <w:p w:rsidR="00B51749" w:rsidRPr="00F0732E" w:rsidRDefault="00B51749" w:rsidP="00447572">
            <w:pPr>
              <w:jc w:val="center"/>
              <w:rPr>
                <w:sz w:val="28"/>
                <w:szCs w:val="28"/>
              </w:rPr>
            </w:pPr>
          </w:p>
        </w:tc>
        <w:tc>
          <w:tcPr>
            <w:tcW w:w="878" w:type="dxa"/>
            <w:shd w:val="clear" w:color="auto" w:fill="auto"/>
          </w:tcPr>
          <w:p w:rsidR="00B51749" w:rsidRPr="00F0732E" w:rsidRDefault="00B51749" w:rsidP="00447572">
            <w:pPr>
              <w:jc w:val="center"/>
              <w:rPr>
                <w:sz w:val="28"/>
                <w:szCs w:val="28"/>
              </w:rPr>
            </w:pPr>
          </w:p>
        </w:tc>
        <w:tc>
          <w:tcPr>
            <w:tcW w:w="887" w:type="dxa"/>
            <w:shd w:val="clear" w:color="auto" w:fill="auto"/>
          </w:tcPr>
          <w:p w:rsidR="00B51749" w:rsidRPr="00F0732E" w:rsidRDefault="00B51749" w:rsidP="00447572">
            <w:pPr>
              <w:jc w:val="center"/>
              <w:rPr>
                <w:sz w:val="28"/>
                <w:szCs w:val="28"/>
              </w:rPr>
            </w:pPr>
            <w:r w:rsidRPr="00F0732E">
              <w:rPr>
                <w:sz w:val="28"/>
                <w:szCs w:val="28"/>
              </w:rPr>
              <w:t>17</w:t>
            </w:r>
          </w:p>
        </w:tc>
      </w:tr>
      <w:tr w:rsidR="00B51749" w:rsidRPr="00F0732E" w:rsidTr="00447572">
        <w:tc>
          <w:tcPr>
            <w:tcW w:w="1296" w:type="dxa"/>
            <w:shd w:val="clear" w:color="auto" w:fill="auto"/>
          </w:tcPr>
          <w:p w:rsidR="00B51749" w:rsidRPr="00F0732E" w:rsidRDefault="00B51749" w:rsidP="00447572">
            <w:pPr>
              <w:jc w:val="center"/>
              <w:rPr>
                <w:sz w:val="28"/>
                <w:szCs w:val="28"/>
              </w:rPr>
            </w:pPr>
            <w:r w:rsidRPr="00F0732E">
              <w:rPr>
                <w:sz w:val="28"/>
                <w:szCs w:val="28"/>
              </w:rPr>
              <w:t>Spolu</w:t>
            </w:r>
          </w:p>
        </w:tc>
        <w:tc>
          <w:tcPr>
            <w:tcW w:w="877" w:type="dxa"/>
            <w:shd w:val="clear" w:color="auto" w:fill="auto"/>
          </w:tcPr>
          <w:p w:rsidR="00B51749" w:rsidRPr="00F0732E" w:rsidRDefault="00B51749" w:rsidP="00447572">
            <w:pPr>
              <w:jc w:val="center"/>
              <w:rPr>
                <w:sz w:val="28"/>
                <w:szCs w:val="28"/>
              </w:rPr>
            </w:pPr>
            <w:r w:rsidRPr="00F0732E">
              <w:rPr>
                <w:sz w:val="28"/>
                <w:szCs w:val="28"/>
              </w:rPr>
              <w:t>10</w:t>
            </w:r>
          </w:p>
        </w:tc>
        <w:tc>
          <w:tcPr>
            <w:tcW w:w="870" w:type="dxa"/>
            <w:shd w:val="clear" w:color="auto" w:fill="auto"/>
          </w:tcPr>
          <w:p w:rsidR="00B51749" w:rsidRPr="00F0732E" w:rsidRDefault="00B51749" w:rsidP="00447572">
            <w:pPr>
              <w:jc w:val="center"/>
              <w:rPr>
                <w:sz w:val="28"/>
                <w:szCs w:val="28"/>
              </w:rPr>
            </w:pPr>
            <w:r w:rsidRPr="00F0732E">
              <w:rPr>
                <w:sz w:val="28"/>
                <w:szCs w:val="28"/>
              </w:rPr>
              <w:t>2</w:t>
            </w:r>
          </w:p>
        </w:tc>
        <w:tc>
          <w:tcPr>
            <w:tcW w:w="874" w:type="dxa"/>
            <w:shd w:val="clear" w:color="auto" w:fill="auto"/>
          </w:tcPr>
          <w:p w:rsidR="00B51749" w:rsidRPr="00F0732E" w:rsidRDefault="00B51749" w:rsidP="00447572">
            <w:pPr>
              <w:jc w:val="center"/>
              <w:rPr>
                <w:sz w:val="28"/>
                <w:szCs w:val="28"/>
              </w:rPr>
            </w:pPr>
            <w:r w:rsidRPr="00F0732E">
              <w:rPr>
                <w:sz w:val="28"/>
                <w:szCs w:val="28"/>
              </w:rPr>
              <w:t>7</w:t>
            </w:r>
          </w:p>
        </w:tc>
        <w:tc>
          <w:tcPr>
            <w:tcW w:w="963" w:type="dxa"/>
            <w:shd w:val="clear" w:color="auto" w:fill="auto"/>
          </w:tcPr>
          <w:p w:rsidR="00B51749" w:rsidRPr="00F0732E" w:rsidRDefault="00B51749" w:rsidP="00447572">
            <w:pPr>
              <w:jc w:val="center"/>
              <w:rPr>
                <w:sz w:val="28"/>
                <w:szCs w:val="28"/>
              </w:rPr>
            </w:pPr>
            <w:r w:rsidRPr="00F0732E">
              <w:rPr>
                <w:sz w:val="28"/>
                <w:szCs w:val="28"/>
              </w:rPr>
              <w:t>4</w:t>
            </w:r>
          </w:p>
        </w:tc>
        <w:tc>
          <w:tcPr>
            <w:tcW w:w="866" w:type="dxa"/>
            <w:shd w:val="clear" w:color="auto" w:fill="auto"/>
          </w:tcPr>
          <w:p w:rsidR="00B51749" w:rsidRPr="00F0732E" w:rsidRDefault="00B51749" w:rsidP="00447572">
            <w:pPr>
              <w:jc w:val="center"/>
              <w:rPr>
                <w:sz w:val="28"/>
                <w:szCs w:val="28"/>
              </w:rPr>
            </w:pPr>
            <w:r w:rsidRPr="00F0732E">
              <w:rPr>
                <w:sz w:val="28"/>
                <w:szCs w:val="28"/>
              </w:rPr>
              <w:t>9</w:t>
            </w:r>
          </w:p>
        </w:tc>
        <w:tc>
          <w:tcPr>
            <w:tcW w:w="892" w:type="dxa"/>
            <w:shd w:val="clear" w:color="auto" w:fill="auto"/>
          </w:tcPr>
          <w:p w:rsidR="00B51749" w:rsidRPr="00F0732E" w:rsidRDefault="00B51749" w:rsidP="00447572">
            <w:pPr>
              <w:jc w:val="center"/>
              <w:rPr>
                <w:sz w:val="28"/>
                <w:szCs w:val="28"/>
              </w:rPr>
            </w:pPr>
            <w:r w:rsidRPr="00F0732E">
              <w:rPr>
                <w:sz w:val="28"/>
                <w:szCs w:val="28"/>
              </w:rPr>
              <w:t>5</w:t>
            </w:r>
          </w:p>
        </w:tc>
        <w:tc>
          <w:tcPr>
            <w:tcW w:w="885" w:type="dxa"/>
            <w:shd w:val="clear" w:color="auto" w:fill="auto"/>
          </w:tcPr>
          <w:p w:rsidR="00B51749" w:rsidRPr="00F0732E" w:rsidRDefault="00B51749" w:rsidP="00447572">
            <w:pPr>
              <w:jc w:val="center"/>
              <w:rPr>
                <w:sz w:val="28"/>
                <w:szCs w:val="28"/>
              </w:rPr>
            </w:pPr>
            <w:r w:rsidRPr="00F0732E">
              <w:rPr>
                <w:sz w:val="28"/>
                <w:szCs w:val="28"/>
              </w:rPr>
              <w:t>0</w:t>
            </w:r>
          </w:p>
        </w:tc>
        <w:tc>
          <w:tcPr>
            <w:tcW w:w="878" w:type="dxa"/>
            <w:shd w:val="clear" w:color="auto" w:fill="auto"/>
          </w:tcPr>
          <w:p w:rsidR="00B51749" w:rsidRPr="00F0732E" w:rsidRDefault="00B51749" w:rsidP="00447572">
            <w:pPr>
              <w:jc w:val="center"/>
              <w:rPr>
                <w:sz w:val="28"/>
                <w:szCs w:val="28"/>
              </w:rPr>
            </w:pPr>
            <w:r w:rsidRPr="00F0732E">
              <w:rPr>
                <w:sz w:val="28"/>
                <w:szCs w:val="28"/>
              </w:rPr>
              <w:t>0</w:t>
            </w:r>
          </w:p>
        </w:tc>
        <w:tc>
          <w:tcPr>
            <w:tcW w:w="887" w:type="dxa"/>
            <w:shd w:val="clear" w:color="auto" w:fill="auto"/>
          </w:tcPr>
          <w:p w:rsidR="00B51749" w:rsidRPr="00F0732E" w:rsidRDefault="00B51749" w:rsidP="00447572">
            <w:pPr>
              <w:jc w:val="center"/>
              <w:rPr>
                <w:sz w:val="28"/>
                <w:szCs w:val="28"/>
              </w:rPr>
            </w:pPr>
            <w:r w:rsidRPr="00F0732E">
              <w:rPr>
                <w:sz w:val="28"/>
                <w:szCs w:val="28"/>
              </w:rPr>
              <w:t>37</w:t>
            </w:r>
          </w:p>
        </w:tc>
      </w:tr>
    </w:tbl>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Kompletný zoznam vymenovaný</w:t>
      </w:r>
      <w:r w:rsidR="003D2012">
        <w:rPr>
          <w:sz w:val="28"/>
          <w:szCs w:val="28"/>
        </w:rPr>
        <w:t xml:space="preserve">ch docentov uvádza tabuľka č. 8 </w:t>
      </w:r>
      <w:r w:rsidRPr="00F0732E">
        <w:rPr>
          <w:sz w:val="28"/>
          <w:szCs w:val="28"/>
        </w:rPr>
        <w:t>v</w:t>
      </w:r>
      <w:r w:rsidR="003D2012">
        <w:rPr>
          <w:sz w:val="28"/>
          <w:szCs w:val="28"/>
        </w:rPr>
        <w:t xml:space="preserve"> tabuľkovej </w:t>
      </w:r>
      <w:r w:rsidRPr="00F0732E">
        <w:rPr>
          <w:sz w:val="28"/>
          <w:szCs w:val="28"/>
        </w:rPr>
        <w:t>prílohe tejto výročnej správy.</w:t>
      </w:r>
    </w:p>
    <w:p w:rsidR="00B51749" w:rsidRPr="00F0732E" w:rsidRDefault="00B51749" w:rsidP="00B51749">
      <w:pPr>
        <w:rPr>
          <w:sz w:val="28"/>
          <w:szCs w:val="28"/>
        </w:rPr>
      </w:pPr>
    </w:p>
    <w:p w:rsidR="00B51749" w:rsidRPr="00F0732E" w:rsidRDefault="00B51749" w:rsidP="00B51749">
      <w:pPr>
        <w:rPr>
          <w:sz w:val="28"/>
          <w:szCs w:val="28"/>
        </w:rPr>
      </w:pPr>
    </w:p>
    <w:p w:rsidR="00B51749" w:rsidRPr="00F0732E" w:rsidRDefault="00B51749" w:rsidP="00B51749">
      <w:pPr>
        <w:rPr>
          <w:b/>
          <w:sz w:val="28"/>
          <w:szCs w:val="28"/>
        </w:rPr>
      </w:pPr>
      <w:r w:rsidRPr="00F0732E">
        <w:rPr>
          <w:sz w:val="28"/>
          <w:szCs w:val="28"/>
        </w:rPr>
        <w:t xml:space="preserve">Na zasadnutí vedeckej rady bol prerokovaný a schválený jeden návrh na udelenie vedeckej hodnosti doktora vied. </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 xml:space="preserve">Tabuľka 6.3: Prehľad návrhov na udelenie </w:t>
      </w:r>
      <w:r w:rsidR="00633A75">
        <w:rPr>
          <w:b/>
          <w:sz w:val="28"/>
          <w:szCs w:val="28"/>
        </w:rPr>
        <w:t>vedeckej hodnosti doktora vied –</w:t>
      </w:r>
      <w:r w:rsidRPr="00F0732E">
        <w:rPr>
          <w:b/>
          <w:sz w:val="28"/>
          <w:szCs w:val="28"/>
        </w:rPr>
        <w:t xml:space="preserve"> DrSc.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61"/>
        <w:gridCol w:w="813"/>
        <w:gridCol w:w="829"/>
        <w:gridCol w:w="1084"/>
        <w:gridCol w:w="791"/>
        <w:gridCol w:w="907"/>
        <w:gridCol w:w="887"/>
        <w:gridCol w:w="878"/>
      </w:tblGrid>
      <w:tr w:rsidR="00B51749" w:rsidRPr="00F0732E" w:rsidTr="00447572">
        <w:tc>
          <w:tcPr>
            <w:tcW w:w="1188" w:type="dxa"/>
            <w:shd w:val="clear" w:color="auto" w:fill="auto"/>
          </w:tcPr>
          <w:p w:rsidR="00B51749" w:rsidRPr="00F0732E" w:rsidRDefault="00B51749" w:rsidP="00447572">
            <w:pPr>
              <w:rPr>
                <w:b/>
                <w:sz w:val="28"/>
                <w:szCs w:val="28"/>
              </w:rPr>
            </w:pPr>
            <w:r w:rsidRPr="00F0732E">
              <w:rPr>
                <w:b/>
                <w:sz w:val="28"/>
                <w:szCs w:val="28"/>
              </w:rPr>
              <w:t>VR STU</w:t>
            </w:r>
          </w:p>
        </w:tc>
        <w:tc>
          <w:tcPr>
            <w:tcW w:w="858" w:type="dxa"/>
            <w:shd w:val="clear" w:color="auto" w:fill="auto"/>
          </w:tcPr>
          <w:p w:rsidR="00B51749" w:rsidRPr="00F0732E" w:rsidRDefault="00B51749" w:rsidP="00447572">
            <w:pPr>
              <w:rPr>
                <w:b/>
                <w:sz w:val="28"/>
                <w:szCs w:val="28"/>
              </w:rPr>
            </w:pPr>
            <w:r w:rsidRPr="00F0732E">
              <w:rPr>
                <w:b/>
                <w:sz w:val="28"/>
                <w:szCs w:val="28"/>
              </w:rPr>
              <w:t>SvF</w:t>
            </w:r>
          </w:p>
        </w:tc>
        <w:tc>
          <w:tcPr>
            <w:tcW w:w="1023" w:type="dxa"/>
            <w:shd w:val="clear" w:color="auto" w:fill="auto"/>
          </w:tcPr>
          <w:p w:rsidR="00B51749" w:rsidRPr="00F0732E" w:rsidRDefault="00B51749" w:rsidP="00447572">
            <w:pPr>
              <w:rPr>
                <w:b/>
                <w:sz w:val="28"/>
                <w:szCs w:val="28"/>
              </w:rPr>
            </w:pPr>
            <w:r w:rsidRPr="00F0732E">
              <w:rPr>
                <w:b/>
                <w:sz w:val="28"/>
                <w:szCs w:val="28"/>
              </w:rPr>
              <w:t>SjF</w:t>
            </w:r>
          </w:p>
        </w:tc>
        <w:tc>
          <w:tcPr>
            <w:tcW w:w="1023" w:type="dxa"/>
            <w:shd w:val="clear" w:color="auto" w:fill="auto"/>
          </w:tcPr>
          <w:p w:rsidR="00B51749" w:rsidRPr="00F0732E" w:rsidRDefault="00B51749" w:rsidP="00447572">
            <w:pPr>
              <w:rPr>
                <w:b/>
                <w:sz w:val="28"/>
                <w:szCs w:val="28"/>
              </w:rPr>
            </w:pPr>
            <w:r w:rsidRPr="00F0732E">
              <w:rPr>
                <w:b/>
                <w:sz w:val="28"/>
                <w:szCs w:val="28"/>
              </w:rPr>
              <w:t>FEI</w:t>
            </w:r>
          </w:p>
        </w:tc>
        <w:tc>
          <w:tcPr>
            <w:tcW w:w="1024" w:type="dxa"/>
            <w:shd w:val="clear" w:color="auto" w:fill="auto"/>
          </w:tcPr>
          <w:p w:rsidR="00B51749" w:rsidRPr="00F0732E" w:rsidRDefault="00B51749" w:rsidP="00447572">
            <w:pPr>
              <w:rPr>
                <w:b/>
                <w:sz w:val="28"/>
                <w:szCs w:val="28"/>
              </w:rPr>
            </w:pPr>
            <w:r w:rsidRPr="00F0732E">
              <w:rPr>
                <w:b/>
                <w:sz w:val="28"/>
                <w:szCs w:val="28"/>
              </w:rPr>
              <w:t>FCHPT</w:t>
            </w:r>
          </w:p>
        </w:tc>
        <w:tc>
          <w:tcPr>
            <w:tcW w:w="1024" w:type="dxa"/>
            <w:shd w:val="clear" w:color="auto" w:fill="auto"/>
          </w:tcPr>
          <w:p w:rsidR="00B51749" w:rsidRPr="00F0732E" w:rsidRDefault="00B51749" w:rsidP="00447572">
            <w:pPr>
              <w:rPr>
                <w:b/>
                <w:sz w:val="28"/>
                <w:szCs w:val="28"/>
              </w:rPr>
            </w:pPr>
            <w:r w:rsidRPr="00F0732E">
              <w:rPr>
                <w:b/>
                <w:sz w:val="28"/>
                <w:szCs w:val="28"/>
              </w:rPr>
              <w:t>FA</w:t>
            </w:r>
          </w:p>
        </w:tc>
        <w:tc>
          <w:tcPr>
            <w:tcW w:w="1024" w:type="dxa"/>
            <w:shd w:val="clear" w:color="auto" w:fill="auto"/>
          </w:tcPr>
          <w:p w:rsidR="00B51749" w:rsidRPr="00F0732E" w:rsidRDefault="00B51749" w:rsidP="00447572">
            <w:pPr>
              <w:rPr>
                <w:b/>
                <w:sz w:val="28"/>
                <w:szCs w:val="28"/>
              </w:rPr>
            </w:pPr>
            <w:r w:rsidRPr="00F0732E">
              <w:rPr>
                <w:b/>
                <w:sz w:val="28"/>
                <w:szCs w:val="28"/>
              </w:rPr>
              <w:t>MTF</w:t>
            </w:r>
          </w:p>
        </w:tc>
        <w:tc>
          <w:tcPr>
            <w:tcW w:w="1024" w:type="dxa"/>
            <w:shd w:val="clear" w:color="auto" w:fill="auto"/>
          </w:tcPr>
          <w:p w:rsidR="00B51749" w:rsidRPr="00F0732E" w:rsidRDefault="00B51749" w:rsidP="00447572">
            <w:pPr>
              <w:rPr>
                <w:b/>
                <w:sz w:val="28"/>
                <w:szCs w:val="28"/>
              </w:rPr>
            </w:pPr>
            <w:r w:rsidRPr="00F0732E">
              <w:rPr>
                <w:b/>
                <w:sz w:val="28"/>
                <w:szCs w:val="28"/>
              </w:rPr>
              <w:t>FIIT</w:t>
            </w:r>
          </w:p>
        </w:tc>
        <w:tc>
          <w:tcPr>
            <w:tcW w:w="1024" w:type="dxa"/>
            <w:shd w:val="clear" w:color="auto" w:fill="auto"/>
          </w:tcPr>
          <w:p w:rsidR="00B51749" w:rsidRPr="00F0732E" w:rsidRDefault="00B51749" w:rsidP="00447572">
            <w:pPr>
              <w:rPr>
                <w:b/>
                <w:sz w:val="28"/>
                <w:szCs w:val="28"/>
              </w:rPr>
            </w:pPr>
            <w:r w:rsidRPr="00F0732E">
              <w:rPr>
                <w:b/>
                <w:sz w:val="28"/>
                <w:szCs w:val="28"/>
              </w:rPr>
              <w:t>STU</w:t>
            </w:r>
          </w:p>
        </w:tc>
      </w:tr>
      <w:tr w:rsidR="00B51749" w:rsidRPr="00F0732E" w:rsidTr="00447572">
        <w:tc>
          <w:tcPr>
            <w:tcW w:w="1188" w:type="dxa"/>
            <w:shd w:val="clear" w:color="auto" w:fill="auto"/>
          </w:tcPr>
          <w:p w:rsidR="00B51749" w:rsidRPr="00F0732E" w:rsidRDefault="00B51749" w:rsidP="00447572">
            <w:pPr>
              <w:rPr>
                <w:sz w:val="28"/>
                <w:szCs w:val="28"/>
              </w:rPr>
            </w:pPr>
            <w:r w:rsidRPr="00F0732E">
              <w:rPr>
                <w:sz w:val="28"/>
                <w:szCs w:val="28"/>
              </w:rPr>
              <w:t>29.10.2014</w:t>
            </w:r>
          </w:p>
        </w:tc>
        <w:tc>
          <w:tcPr>
            <w:tcW w:w="85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jc w:val="center"/>
              <w:rPr>
                <w:sz w:val="28"/>
                <w:szCs w:val="28"/>
              </w:rPr>
            </w:pPr>
            <w:r w:rsidRPr="00F0732E">
              <w:rPr>
                <w:sz w:val="28"/>
                <w:szCs w:val="28"/>
              </w:rPr>
              <w:t>1</w:t>
            </w:r>
          </w:p>
        </w:tc>
        <w:tc>
          <w:tcPr>
            <w:tcW w:w="1024" w:type="dxa"/>
            <w:shd w:val="clear" w:color="auto" w:fill="auto"/>
          </w:tcPr>
          <w:p w:rsidR="00B51749" w:rsidRPr="00F0732E" w:rsidRDefault="00B51749" w:rsidP="00447572">
            <w:pPr>
              <w:jc w:val="center"/>
              <w:rPr>
                <w:sz w:val="28"/>
                <w:szCs w:val="28"/>
              </w:rPr>
            </w:pPr>
          </w:p>
        </w:tc>
        <w:tc>
          <w:tcPr>
            <w:tcW w:w="1024" w:type="dxa"/>
            <w:shd w:val="clear" w:color="auto" w:fill="auto"/>
          </w:tcPr>
          <w:p w:rsidR="00B51749" w:rsidRPr="00F0732E" w:rsidRDefault="00B51749" w:rsidP="00447572">
            <w:pPr>
              <w:jc w:val="center"/>
              <w:rPr>
                <w:sz w:val="28"/>
                <w:szCs w:val="28"/>
              </w:rPr>
            </w:pPr>
            <w:r w:rsidRPr="00F0732E">
              <w:rPr>
                <w:sz w:val="28"/>
                <w:szCs w:val="28"/>
              </w:rPr>
              <w:t>1</w:t>
            </w:r>
          </w:p>
        </w:tc>
      </w:tr>
      <w:tr w:rsidR="00B51749" w:rsidRPr="00F0732E" w:rsidTr="00447572">
        <w:tc>
          <w:tcPr>
            <w:tcW w:w="1188" w:type="dxa"/>
            <w:shd w:val="clear" w:color="auto" w:fill="auto"/>
          </w:tcPr>
          <w:p w:rsidR="00B51749" w:rsidRPr="00F0732E" w:rsidRDefault="00B51749" w:rsidP="00447572">
            <w:pPr>
              <w:rPr>
                <w:sz w:val="28"/>
                <w:szCs w:val="28"/>
              </w:rPr>
            </w:pPr>
            <w:r w:rsidRPr="00F0732E">
              <w:rPr>
                <w:sz w:val="28"/>
                <w:szCs w:val="28"/>
              </w:rPr>
              <w:t>Spolu</w:t>
            </w:r>
          </w:p>
        </w:tc>
        <w:tc>
          <w:tcPr>
            <w:tcW w:w="85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rPr>
                <w:sz w:val="28"/>
                <w:szCs w:val="28"/>
              </w:rPr>
            </w:pPr>
          </w:p>
        </w:tc>
        <w:tc>
          <w:tcPr>
            <w:tcW w:w="1024" w:type="dxa"/>
            <w:shd w:val="clear" w:color="auto" w:fill="auto"/>
          </w:tcPr>
          <w:p w:rsidR="00B51749" w:rsidRPr="00F0732E" w:rsidRDefault="00B51749" w:rsidP="00447572">
            <w:pPr>
              <w:jc w:val="center"/>
              <w:rPr>
                <w:sz w:val="28"/>
                <w:szCs w:val="28"/>
              </w:rPr>
            </w:pPr>
            <w:r w:rsidRPr="00F0732E">
              <w:rPr>
                <w:sz w:val="28"/>
                <w:szCs w:val="28"/>
              </w:rPr>
              <w:t>1</w:t>
            </w:r>
          </w:p>
        </w:tc>
        <w:tc>
          <w:tcPr>
            <w:tcW w:w="1024" w:type="dxa"/>
            <w:shd w:val="clear" w:color="auto" w:fill="auto"/>
          </w:tcPr>
          <w:p w:rsidR="00B51749" w:rsidRPr="00F0732E" w:rsidRDefault="00B51749" w:rsidP="00447572">
            <w:pPr>
              <w:jc w:val="center"/>
              <w:rPr>
                <w:sz w:val="28"/>
                <w:szCs w:val="28"/>
              </w:rPr>
            </w:pPr>
          </w:p>
        </w:tc>
        <w:tc>
          <w:tcPr>
            <w:tcW w:w="1024" w:type="dxa"/>
            <w:shd w:val="clear" w:color="auto" w:fill="auto"/>
          </w:tcPr>
          <w:p w:rsidR="00B51749" w:rsidRPr="00F0732E" w:rsidRDefault="00B51749" w:rsidP="00447572">
            <w:pPr>
              <w:jc w:val="center"/>
              <w:rPr>
                <w:sz w:val="28"/>
                <w:szCs w:val="28"/>
              </w:rPr>
            </w:pPr>
            <w:r w:rsidRPr="00F0732E">
              <w:rPr>
                <w:sz w:val="28"/>
                <w:szCs w:val="28"/>
              </w:rPr>
              <w:t>1</w:t>
            </w:r>
          </w:p>
        </w:tc>
      </w:tr>
    </w:tbl>
    <w:p w:rsidR="00B51749" w:rsidRPr="00F0732E" w:rsidRDefault="00B51749" w:rsidP="00B51749">
      <w:pPr>
        <w:rPr>
          <w:sz w:val="28"/>
          <w:szCs w:val="28"/>
        </w:rPr>
      </w:pPr>
    </w:p>
    <w:p w:rsidR="00B51749" w:rsidRPr="00F0732E" w:rsidRDefault="00B51749" w:rsidP="00B51749">
      <w:pPr>
        <w:autoSpaceDE w:val="0"/>
        <w:autoSpaceDN w:val="0"/>
        <w:adjustRightInd w:val="0"/>
        <w:jc w:val="left"/>
        <w:rPr>
          <w:sz w:val="28"/>
          <w:szCs w:val="28"/>
        </w:rPr>
      </w:pPr>
      <w:r w:rsidRPr="00F0732E">
        <w:rPr>
          <w:sz w:val="28"/>
          <w:szCs w:val="28"/>
        </w:rPr>
        <w:t xml:space="preserve">V roku 2014 boli prerokované a schválené na zasadnutiach Vedeckej rady STU 4 čestné doktoráty. </w:t>
      </w:r>
      <w:r w:rsidRPr="00F0732E">
        <w:rPr>
          <w:sz w:val="28"/>
          <w:szCs w:val="28"/>
        </w:rPr>
        <w:br/>
        <w:t>Rektor STU prof. Ing. Robert Redhammer, PhD. odovzdal čestný titul na slávnostnom zasadnutí Vedeckej rady STU: dňa 25. 11. 2014 Dipl. Ing. (FH) Petrovi Dollovi.</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rPr>
          <w:b/>
          <w:i/>
          <w:sz w:val="28"/>
          <w:szCs w:val="28"/>
        </w:rPr>
      </w:pPr>
      <w:r w:rsidRPr="00F0732E">
        <w:rPr>
          <w:b/>
          <w:sz w:val="28"/>
          <w:szCs w:val="28"/>
        </w:rPr>
        <w:t>Tabuľka 6.4: Prehľad udelených titulov „doctor honoris causa“ na slávnostnej VR 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98"/>
        <w:gridCol w:w="768"/>
        <w:gridCol w:w="788"/>
        <w:gridCol w:w="1084"/>
        <w:gridCol w:w="742"/>
        <w:gridCol w:w="875"/>
        <w:gridCol w:w="851"/>
        <w:gridCol w:w="925"/>
      </w:tblGrid>
      <w:tr w:rsidR="00B51749" w:rsidRPr="00F0732E" w:rsidTr="00447572">
        <w:trPr>
          <w:trHeight w:val="907"/>
        </w:trPr>
        <w:tc>
          <w:tcPr>
            <w:tcW w:w="1364" w:type="dxa"/>
          </w:tcPr>
          <w:p w:rsidR="00B51749" w:rsidRPr="00F0732E" w:rsidRDefault="00B51749" w:rsidP="00447572">
            <w:pPr>
              <w:autoSpaceDE w:val="0"/>
              <w:autoSpaceDN w:val="0"/>
              <w:adjustRightInd w:val="0"/>
              <w:rPr>
                <w:b/>
                <w:sz w:val="28"/>
                <w:szCs w:val="28"/>
              </w:rPr>
            </w:pPr>
            <w:r w:rsidRPr="00F0732E">
              <w:rPr>
                <w:b/>
                <w:sz w:val="28"/>
                <w:szCs w:val="28"/>
              </w:rPr>
              <w:t>Dátum</w:t>
            </w:r>
          </w:p>
          <w:p w:rsidR="00B51749" w:rsidRPr="00F0732E" w:rsidRDefault="00B51749" w:rsidP="00447572">
            <w:pPr>
              <w:autoSpaceDE w:val="0"/>
              <w:autoSpaceDN w:val="0"/>
              <w:adjustRightInd w:val="0"/>
              <w:rPr>
                <w:b/>
                <w:sz w:val="28"/>
                <w:szCs w:val="28"/>
              </w:rPr>
            </w:pPr>
            <w:r w:rsidRPr="00F0732E">
              <w:rPr>
                <w:b/>
                <w:sz w:val="28"/>
                <w:szCs w:val="28"/>
              </w:rPr>
              <w:t>slávnostnej VR STU</w:t>
            </w:r>
          </w:p>
        </w:tc>
        <w:tc>
          <w:tcPr>
            <w:tcW w:w="868"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SvF</w:t>
            </w:r>
          </w:p>
        </w:tc>
        <w:tc>
          <w:tcPr>
            <w:tcW w:w="853"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SjF</w:t>
            </w:r>
          </w:p>
        </w:tc>
        <w:tc>
          <w:tcPr>
            <w:tcW w:w="868"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FEI</w:t>
            </w:r>
          </w:p>
        </w:tc>
        <w:tc>
          <w:tcPr>
            <w:tcW w:w="1030"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FCHPT</w:t>
            </w:r>
          </w:p>
        </w:tc>
        <w:tc>
          <w:tcPr>
            <w:tcW w:w="838"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FA</w:t>
            </w:r>
          </w:p>
        </w:tc>
        <w:tc>
          <w:tcPr>
            <w:tcW w:w="919"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MTF</w:t>
            </w:r>
          </w:p>
        </w:tc>
        <w:tc>
          <w:tcPr>
            <w:tcW w:w="904"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FIIT</w:t>
            </w:r>
          </w:p>
        </w:tc>
        <w:tc>
          <w:tcPr>
            <w:tcW w:w="894" w:type="dxa"/>
          </w:tcPr>
          <w:p w:rsidR="00B51749" w:rsidRPr="00F0732E" w:rsidRDefault="00B51749" w:rsidP="00447572">
            <w:pPr>
              <w:autoSpaceDE w:val="0"/>
              <w:autoSpaceDN w:val="0"/>
              <w:adjustRightInd w:val="0"/>
              <w:rPr>
                <w:b/>
                <w:sz w:val="28"/>
                <w:szCs w:val="28"/>
              </w:rPr>
            </w:pPr>
          </w:p>
          <w:p w:rsidR="00B51749" w:rsidRPr="00F0732E" w:rsidRDefault="00B51749" w:rsidP="00447572">
            <w:pPr>
              <w:autoSpaceDE w:val="0"/>
              <w:autoSpaceDN w:val="0"/>
              <w:adjustRightInd w:val="0"/>
              <w:rPr>
                <w:b/>
                <w:sz w:val="28"/>
                <w:szCs w:val="28"/>
              </w:rPr>
            </w:pPr>
            <w:r w:rsidRPr="00F0732E">
              <w:rPr>
                <w:b/>
                <w:sz w:val="28"/>
                <w:szCs w:val="28"/>
              </w:rPr>
              <w:t>STU spolu</w:t>
            </w:r>
          </w:p>
        </w:tc>
      </w:tr>
      <w:tr w:rsidR="00B51749" w:rsidRPr="00F0732E" w:rsidTr="00447572">
        <w:tc>
          <w:tcPr>
            <w:tcW w:w="1364" w:type="dxa"/>
          </w:tcPr>
          <w:p w:rsidR="00B51749" w:rsidRPr="00F0732E" w:rsidRDefault="00B51749" w:rsidP="00447572">
            <w:pPr>
              <w:autoSpaceDE w:val="0"/>
              <w:autoSpaceDN w:val="0"/>
              <w:adjustRightInd w:val="0"/>
              <w:rPr>
                <w:sz w:val="28"/>
                <w:szCs w:val="28"/>
              </w:rPr>
            </w:pPr>
            <w:r w:rsidRPr="00F0732E">
              <w:rPr>
                <w:sz w:val="28"/>
                <w:szCs w:val="28"/>
              </w:rPr>
              <w:t>25.11.2014</w:t>
            </w:r>
          </w:p>
        </w:tc>
        <w:tc>
          <w:tcPr>
            <w:tcW w:w="868" w:type="dxa"/>
          </w:tcPr>
          <w:p w:rsidR="00B51749" w:rsidRPr="00F0732E" w:rsidRDefault="00B51749" w:rsidP="00447572">
            <w:pPr>
              <w:autoSpaceDE w:val="0"/>
              <w:autoSpaceDN w:val="0"/>
              <w:adjustRightInd w:val="0"/>
              <w:rPr>
                <w:sz w:val="28"/>
                <w:szCs w:val="28"/>
              </w:rPr>
            </w:pPr>
          </w:p>
        </w:tc>
        <w:tc>
          <w:tcPr>
            <w:tcW w:w="853" w:type="dxa"/>
          </w:tcPr>
          <w:p w:rsidR="00B51749" w:rsidRPr="00F0732E" w:rsidRDefault="00B51749" w:rsidP="00447572">
            <w:pPr>
              <w:autoSpaceDE w:val="0"/>
              <w:autoSpaceDN w:val="0"/>
              <w:adjustRightInd w:val="0"/>
              <w:jc w:val="left"/>
              <w:rPr>
                <w:sz w:val="28"/>
                <w:szCs w:val="28"/>
              </w:rPr>
            </w:pPr>
          </w:p>
        </w:tc>
        <w:tc>
          <w:tcPr>
            <w:tcW w:w="868" w:type="dxa"/>
          </w:tcPr>
          <w:p w:rsidR="00B51749" w:rsidRPr="00F0732E" w:rsidRDefault="00B51749" w:rsidP="00447572">
            <w:pPr>
              <w:autoSpaceDE w:val="0"/>
              <w:autoSpaceDN w:val="0"/>
              <w:adjustRightInd w:val="0"/>
              <w:jc w:val="left"/>
              <w:rPr>
                <w:sz w:val="28"/>
                <w:szCs w:val="28"/>
              </w:rPr>
            </w:pPr>
          </w:p>
        </w:tc>
        <w:tc>
          <w:tcPr>
            <w:tcW w:w="1030" w:type="dxa"/>
          </w:tcPr>
          <w:p w:rsidR="00B51749" w:rsidRPr="00F0732E" w:rsidRDefault="00B51749" w:rsidP="00447572">
            <w:pPr>
              <w:autoSpaceDE w:val="0"/>
              <w:autoSpaceDN w:val="0"/>
              <w:adjustRightInd w:val="0"/>
              <w:jc w:val="left"/>
              <w:rPr>
                <w:sz w:val="28"/>
                <w:szCs w:val="28"/>
              </w:rPr>
            </w:pPr>
          </w:p>
        </w:tc>
        <w:tc>
          <w:tcPr>
            <w:tcW w:w="838" w:type="dxa"/>
          </w:tcPr>
          <w:p w:rsidR="00B51749" w:rsidRPr="00F0732E" w:rsidRDefault="00B51749" w:rsidP="00447572">
            <w:pPr>
              <w:autoSpaceDE w:val="0"/>
              <w:autoSpaceDN w:val="0"/>
              <w:adjustRightInd w:val="0"/>
              <w:jc w:val="left"/>
              <w:rPr>
                <w:sz w:val="28"/>
                <w:szCs w:val="28"/>
              </w:rPr>
            </w:pPr>
          </w:p>
        </w:tc>
        <w:tc>
          <w:tcPr>
            <w:tcW w:w="919" w:type="dxa"/>
          </w:tcPr>
          <w:p w:rsidR="00B51749" w:rsidRPr="00F0732E" w:rsidRDefault="00B51749" w:rsidP="00447572">
            <w:pPr>
              <w:autoSpaceDE w:val="0"/>
              <w:autoSpaceDN w:val="0"/>
              <w:adjustRightInd w:val="0"/>
              <w:jc w:val="left"/>
              <w:rPr>
                <w:sz w:val="28"/>
                <w:szCs w:val="28"/>
              </w:rPr>
            </w:pPr>
            <w:r w:rsidRPr="00F0732E">
              <w:rPr>
                <w:sz w:val="28"/>
                <w:szCs w:val="28"/>
              </w:rPr>
              <w:t>1</w:t>
            </w:r>
          </w:p>
        </w:tc>
        <w:tc>
          <w:tcPr>
            <w:tcW w:w="904" w:type="dxa"/>
          </w:tcPr>
          <w:p w:rsidR="00B51749" w:rsidRPr="00F0732E" w:rsidRDefault="00B51749" w:rsidP="00447572">
            <w:pPr>
              <w:autoSpaceDE w:val="0"/>
              <w:autoSpaceDN w:val="0"/>
              <w:adjustRightInd w:val="0"/>
              <w:jc w:val="left"/>
              <w:rPr>
                <w:sz w:val="28"/>
                <w:szCs w:val="28"/>
              </w:rPr>
            </w:pPr>
          </w:p>
        </w:tc>
        <w:tc>
          <w:tcPr>
            <w:tcW w:w="894" w:type="dxa"/>
          </w:tcPr>
          <w:p w:rsidR="00B51749" w:rsidRPr="00F0732E" w:rsidRDefault="00B51749" w:rsidP="00447572">
            <w:pPr>
              <w:autoSpaceDE w:val="0"/>
              <w:autoSpaceDN w:val="0"/>
              <w:adjustRightInd w:val="0"/>
              <w:jc w:val="left"/>
              <w:rPr>
                <w:sz w:val="28"/>
                <w:szCs w:val="28"/>
              </w:rPr>
            </w:pPr>
            <w:r w:rsidRPr="00F0732E">
              <w:rPr>
                <w:sz w:val="28"/>
                <w:szCs w:val="28"/>
              </w:rPr>
              <w:t>1</w:t>
            </w:r>
          </w:p>
        </w:tc>
      </w:tr>
      <w:tr w:rsidR="00B51749" w:rsidRPr="00F0732E" w:rsidTr="00447572">
        <w:tc>
          <w:tcPr>
            <w:tcW w:w="1364" w:type="dxa"/>
          </w:tcPr>
          <w:p w:rsidR="00B51749" w:rsidRPr="00F0732E" w:rsidRDefault="00B51749" w:rsidP="00447572">
            <w:pPr>
              <w:autoSpaceDE w:val="0"/>
              <w:autoSpaceDN w:val="0"/>
              <w:adjustRightInd w:val="0"/>
              <w:rPr>
                <w:sz w:val="28"/>
                <w:szCs w:val="28"/>
              </w:rPr>
            </w:pPr>
            <w:r w:rsidRPr="00F0732E">
              <w:rPr>
                <w:sz w:val="28"/>
                <w:szCs w:val="28"/>
              </w:rPr>
              <w:t>Spolu</w:t>
            </w:r>
          </w:p>
        </w:tc>
        <w:tc>
          <w:tcPr>
            <w:tcW w:w="868" w:type="dxa"/>
          </w:tcPr>
          <w:p w:rsidR="00B51749" w:rsidRPr="00F0732E" w:rsidRDefault="00B51749" w:rsidP="00447572">
            <w:pPr>
              <w:autoSpaceDE w:val="0"/>
              <w:autoSpaceDN w:val="0"/>
              <w:adjustRightInd w:val="0"/>
              <w:rPr>
                <w:sz w:val="28"/>
                <w:szCs w:val="28"/>
              </w:rPr>
            </w:pPr>
          </w:p>
        </w:tc>
        <w:tc>
          <w:tcPr>
            <w:tcW w:w="853" w:type="dxa"/>
          </w:tcPr>
          <w:p w:rsidR="00B51749" w:rsidRPr="00F0732E" w:rsidRDefault="00B51749" w:rsidP="00447572">
            <w:pPr>
              <w:autoSpaceDE w:val="0"/>
              <w:autoSpaceDN w:val="0"/>
              <w:adjustRightInd w:val="0"/>
              <w:jc w:val="left"/>
              <w:rPr>
                <w:sz w:val="28"/>
                <w:szCs w:val="28"/>
              </w:rPr>
            </w:pPr>
          </w:p>
        </w:tc>
        <w:tc>
          <w:tcPr>
            <w:tcW w:w="868" w:type="dxa"/>
          </w:tcPr>
          <w:p w:rsidR="00B51749" w:rsidRPr="00F0732E" w:rsidRDefault="00B51749" w:rsidP="00447572">
            <w:pPr>
              <w:autoSpaceDE w:val="0"/>
              <w:autoSpaceDN w:val="0"/>
              <w:adjustRightInd w:val="0"/>
              <w:jc w:val="left"/>
              <w:rPr>
                <w:sz w:val="28"/>
                <w:szCs w:val="28"/>
              </w:rPr>
            </w:pPr>
          </w:p>
        </w:tc>
        <w:tc>
          <w:tcPr>
            <w:tcW w:w="1030" w:type="dxa"/>
          </w:tcPr>
          <w:p w:rsidR="00B51749" w:rsidRPr="00F0732E" w:rsidRDefault="00B51749" w:rsidP="00447572">
            <w:pPr>
              <w:autoSpaceDE w:val="0"/>
              <w:autoSpaceDN w:val="0"/>
              <w:adjustRightInd w:val="0"/>
              <w:jc w:val="left"/>
              <w:rPr>
                <w:sz w:val="28"/>
                <w:szCs w:val="28"/>
              </w:rPr>
            </w:pPr>
          </w:p>
        </w:tc>
        <w:tc>
          <w:tcPr>
            <w:tcW w:w="838" w:type="dxa"/>
          </w:tcPr>
          <w:p w:rsidR="00B51749" w:rsidRPr="00F0732E" w:rsidRDefault="00B51749" w:rsidP="00447572">
            <w:pPr>
              <w:autoSpaceDE w:val="0"/>
              <w:autoSpaceDN w:val="0"/>
              <w:adjustRightInd w:val="0"/>
              <w:jc w:val="left"/>
              <w:rPr>
                <w:sz w:val="28"/>
                <w:szCs w:val="28"/>
              </w:rPr>
            </w:pPr>
          </w:p>
        </w:tc>
        <w:tc>
          <w:tcPr>
            <w:tcW w:w="919" w:type="dxa"/>
          </w:tcPr>
          <w:p w:rsidR="00B51749" w:rsidRPr="00F0732E" w:rsidRDefault="00B51749" w:rsidP="00447572">
            <w:pPr>
              <w:autoSpaceDE w:val="0"/>
              <w:autoSpaceDN w:val="0"/>
              <w:adjustRightInd w:val="0"/>
              <w:jc w:val="left"/>
              <w:rPr>
                <w:sz w:val="28"/>
                <w:szCs w:val="28"/>
              </w:rPr>
            </w:pPr>
          </w:p>
        </w:tc>
        <w:tc>
          <w:tcPr>
            <w:tcW w:w="904" w:type="dxa"/>
          </w:tcPr>
          <w:p w:rsidR="00B51749" w:rsidRPr="00F0732E" w:rsidRDefault="00B51749" w:rsidP="00447572">
            <w:pPr>
              <w:autoSpaceDE w:val="0"/>
              <w:autoSpaceDN w:val="0"/>
              <w:adjustRightInd w:val="0"/>
              <w:jc w:val="left"/>
              <w:rPr>
                <w:sz w:val="28"/>
                <w:szCs w:val="28"/>
              </w:rPr>
            </w:pPr>
          </w:p>
        </w:tc>
        <w:tc>
          <w:tcPr>
            <w:tcW w:w="894" w:type="dxa"/>
          </w:tcPr>
          <w:p w:rsidR="00B51749" w:rsidRPr="00F0732E" w:rsidRDefault="00B51749" w:rsidP="00447572">
            <w:pPr>
              <w:autoSpaceDE w:val="0"/>
              <w:autoSpaceDN w:val="0"/>
              <w:adjustRightInd w:val="0"/>
              <w:jc w:val="left"/>
              <w:rPr>
                <w:sz w:val="28"/>
                <w:szCs w:val="28"/>
              </w:rPr>
            </w:pPr>
            <w:r w:rsidRPr="00F0732E">
              <w:rPr>
                <w:sz w:val="28"/>
                <w:szCs w:val="28"/>
              </w:rPr>
              <w:t>1</w:t>
            </w:r>
          </w:p>
        </w:tc>
      </w:tr>
    </w:tbl>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Vedecká rada STU prerokovala a schválila 4</w:t>
      </w:r>
      <w:r w:rsidRPr="00F0732E">
        <w:rPr>
          <w:color w:val="FF0000"/>
          <w:sz w:val="28"/>
          <w:szCs w:val="28"/>
        </w:rPr>
        <w:t xml:space="preserve"> </w:t>
      </w:r>
      <w:r w:rsidRPr="00F0732E">
        <w:rPr>
          <w:sz w:val="28"/>
          <w:szCs w:val="28"/>
        </w:rPr>
        <w:t xml:space="preserve">návrhy na obsadenie miesta vysokoškolských učiteľov do funkcie </w:t>
      </w:r>
      <w:r w:rsidRPr="00F0732E">
        <w:rPr>
          <w:b/>
          <w:sz w:val="28"/>
          <w:szCs w:val="28"/>
        </w:rPr>
        <w:t>hosťujúceho profesora</w:t>
      </w:r>
      <w:r w:rsidRPr="00F0732E">
        <w:rPr>
          <w:sz w:val="28"/>
          <w:szCs w:val="28"/>
        </w:rPr>
        <w:t>, ktoré predkladali dekani fakúlt.</w:t>
      </w:r>
    </w:p>
    <w:p w:rsidR="00B51749" w:rsidRPr="00F0732E" w:rsidRDefault="00B51749" w:rsidP="00B51749">
      <w:pPr>
        <w:rPr>
          <w:sz w:val="28"/>
          <w:szCs w:val="28"/>
        </w:rPr>
      </w:pPr>
    </w:p>
    <w:p w:rsidR="00B51749" w:rsidRPr="00F0732E" w:rsidRDefault="00B51749" w:rsidP="00B51749">
      <w:pPr>
        <w:ind w:left="142"/>
        <w:rPr>
          <w:sz w:val="28"/>
          <w:szCs w:val="28"/>
        </w:rPr>
      </w:pPr>
      <w:r w:rsidRPr="00F0732E">
        <w:rPr>
          <w:b/>
          <w:sz w:val="28"/>
          <w:szCs w:val="28"/>
        </w:rPr>
        <w:t>Tabuľka 6.5: Návrhy na udelenie titulu „hosťujúci profesor“ na 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61"/>
        <w:gridCol w:w="814"/>
        <w:gridCol w:w="829"/>
        <w:gridCol w:w="1084"/>
        <w:gridCol w:w="791"/>
        <w:gridCol w:w="906"/>
        <w:gridCol w:w="886"/>
        <w:gridCol w:w="878"/>
      </w:tblGrid>
      <w:tr w:rsidR="00B51749" w:rsidRPr="00F0732E" w:rsidTr="00447572">
        <w:tc>
          <w:tcPr>
            <w:tcW w:w="1296" w:type="dxa"/>
            <w:shd w:val="clear" w:color="auto" w:fill="auto"/>
          </w:tcPr>
          <w:p w:rsidR="00B51749" w:rsidRPr="00F0732E" w:rsidRDefault="00B51749" w:rsidP="00447572">
            <w:pPr>
              <w:rPr>
                <w:b/>
                <w:sz w:val="28"/>
                <w:szCs w:val="28"/>
              </w:rPr>
            </w:pPr>
            <w:r w:rsidRPr="00F0732E">
              <w:rPr>
                <w:b/>
                <w:sz w:val="28"/>
                <w:szCs w:val="28"/>
              </w:rPr>
              <w:t>VR STU</w:t>
            </w:r>
          </w:p>
        </w:tc>
        <w:tc>
          <w:tcPr>
            <w:tcW w:w="855" w:type="dxa"/>
            <w:shd w:val="clear" w:color="auto" w:fill="auto"/>
          </w:tcPr>
          <w:p w:rsidR="00B51749" w:rsidRPr="00F0732E" w:rsidRDefault="00B51749" w:rsidP="00447572">
            <w:pPr>
              <w:rPr>
                <w:b/>
                <w:sz w:val="28"/>
                <w:szCs w:val="28"/>
              </w:rPr>
            </w:pPr>
            <w:r w:rsidRPr="00F0732E">
              <w:rPr>
                <w:b/>
                <w:sz w:val="28"/>
                <w:szCs w:val="28"/>
              </w:rPr>
              <w:t>SvF</w:t>
            </w:r>
          </w:p>
        </w:tc>
        <w:tc>
          <w:tcPr>
            <w:tcW w:w="1018" w:type="dxa"/>
            <w:shd w:val="clear" w:color="auto" w:fill="auto"/>
          </w:tcPr>
          <w:p w:rsidR="00B51749" w:rsidRPr="00F0732E" w:rsidRDefault="00B51749" w:rsidP="00447572">
            <w:pPr>
              <w:rPr>
                <w:b/>
                <w:sz w:val="28"/>
                <w:szCs w:val="28"/>
              </w:rPr>
            </w:pPr>
            <w:r w:rsidRPr="00F0732E">
              <w:rPr>
                <w:b/>
                <w:sz w:val="28"/>
                <w:szCs w:val="28"/>
              </w:rPr>
              <w:t>SjF</w:t>
            </w:r>
          </w:p>
        </w:tc>
        <w:tc>
          <w:tcPr>
            <w:tcW w:w="1018" w:type="dxa"/>
            <w:shd w:val="clear" w:color="auto" w:fill="auto"/>
          </w:tcPr>
          <w:p w:rsidR="00B51749" w:rsidRPr="00F0732E" w:rsidRDefault="00B51749" w:rsidP="00447572">
            <w:pPr>
              <w:rPr>
                <w:b/>
                <w:sz w:val="28"/>
                <w:szCs w:val="28"/>
              </w:rPr>
            </w:pPr>
            <w:r w:rsidRPr="00F0732E">
              <w:rPr>
                <w:b/>
                <w:sz w:val="28"/>
                <w:szCs w:val="28"/>
              </w:rPr>
              <w:t>FEI</w:t>
            </w:r>
          </w:p>
        </w:tc>
        <w:tc>
          <w:tcPr>
            <w:tcW w:w="1023" w:type="dxa"/>
            <w:shd w:val="clear" w:color="auto" w:fill="auto"/>
          </w:tcPr>
          <w:p w:rsidR="00B51749" w:rsidRPr="00F0732E" w:rsidRDefault="00B51749" w:rsidP="00447572">
            <w:pPr>
              <w:rPr>
                <w:b/>
                <w:sz w:val="28"/>
                <w:szCs w:val="28"/>
              </w:rPr>
            </w:pPr>
            <w:r w:rsidRPr="00F0732E">
              <w:rPr>
                <w:b/>
                <w:sz w:val="28"/>
                <w:szCs w:val="28"/>
              </w:rPr>
              <w:t>FCHPT</w:t>
            </w:r>
          </w:p>
        </w:tc>
        <w:tc>
          <w:tcPr>
            <w:tcW w:w="1018" w:type="dxa"/>
            <w:shd w:val="clear" w:color="auto" w:fill="auto"/>
          </w:tcPr>
          <w:p w:rsidR="00B51749" w:rsidRPr="00F0732E" w:rsidRDefault="00B51749" w:rsidP="00447572">
            <w:pPr>
              <w:rPr>
                <w:b/>
                <w:sz w:val="28"/>
                <w:szCs w:val="28"/>
              </w:rPr>
            </w:pPr>
            <w:r w:rsidRPr="00F0732E">
              <w:rPr>
                <w:b/>
                <w:sz w:val="28"/>
                <w:szCs w:val="28"/>
              </w:rPr>
              <w:t>FA</w:t>
            </w:r>
          </w:p>
        </w:tc>
        <w:tc>
          <w:tcPr>
            <w:tcW w:w="1020" w:type="dxa"/>
            <w:shd w:val="clear" w:color="auto" w:fill="auto"/>
          </w:tcPr>
          <w:p w:rsidR="00B51749" w:rsidRPr="00F0732E" w:rsidRDefault="00B51749" w:rsidP="00447572">
            <w:pPr>
              <w:rPr>
                <w:b/>
                <w:sz w:val="28"/>
                <w:szCs w:val="28"/>
              </w:rPr>
            </w:pPr>
            <w:r w:rsidRPr="00F0732E">
              <w:rPr>
                <w:b/>
                <w:sz w:val="28"/>
                <w:szCs w:val="28"/>
              </w:rPr>
              <w:t>MTF</w:t>
            </w:r>
          </w:p>
        </w:tc>
        <w:tc>
          <w:tcPr>
            <w:tcW w:w="1020" w:type="dxa"/>
            <w:shd w:val="clear" w:color="auto" w:fill="auto"/>
          </w:tcPr>
          <w:p w:rsidR="00B51749" w:rsidRPr="00F0732E" w:rsidRDefault="00B51749" w:rsidP="00447572">
            <w:pPr>
              <w:rPr>
                <w:b/>
                <w:sz w:val="28"/>
                <w:szCs w:val="28"/>
              </w:rPr>
            </w:pPr>
            <w:r w:rsidRPr="00F0732E">
              <w:rPr>
                <w:b/>
                <w:sz w:val="28"/>
                <w:szCs w:val="28"/>
              </w:rPr>
              <w:t>FIIT</w:t>
            </w:r>
          </w:p>
        </w:tc>
        <w:tc>
          <w:tcPr>
            <w:tcW w:w="1020" w:type="dxa"/>
            <w:shd w:val="clear" w:color="auto" w:fill="auto"/>
          </w:tcPr>
          <w:p w:rsidR="00B51749" w:rsidRPr="00F0732E" w:rsidRDefault="00B51749" w:rsidP="00447572">
            <w:pPr>
              <w:rPr>
                <w:b/>
                <w:sz w:val="28"/>
                <w:szCs w:val="28"/>
              </w:rPr>
            </w:pPr>
            <w:r w:rsidRPr="00F0732E">
              <w:rPr>
                <w:b/>
                <w:sz w:val="28"/>
                <w:szCs w:val="28"/>
              </w:rPr>
              <w:t>STU</w:t>
            </w:r>
          </w:p>
        </w:tc>
      </w:tr>
      <w:tr w:rsidR="00B51749" w:rsidRPr="00F0732E" w:rsidTr="00447572">
        <w:tc>
          <w:tcPr>
            <w:tcW w:w="1296" w:type="dxa"/>
            <w:shd w:val="clear" w:color="auto" w:fill="auto"/>
          </w:tcPr>
          <w:p w:rsidR="00B51749" w:rsidRPr="00F0732E" w:rsidRDefault="00B51749" w:rsidP="00447572">
            <w:pPr>
              <w:rPr>
                <w:sz w:val="28"/>
                <w:szCs w:val="28"/>
              </w:rPr>
            </w:pPr>
            <w:r w:rsidRPr="00F0732E">
              <w:rPr>
                <w:sz w:val="28"/>
                <w:szCs w:val="28"/>
              </w:rPr>
              <w:t>19.3.2014</w:t>
            </w:r>
          </w:p>
        </w:tc>
        <w:tc>
          <w:tcPr>
            <w:tcW w:w="855"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jc w:val="left"/>
              <w:rPr>
                <w:sz w:val="28"/>
                <w:szCs w:val="28"/>
              </w:rPr>
            </w:pPr>
          </w:p>
        </w:tc>
        <w:tc>
          <w:tcPr>
            <w:tcW w:w="1018"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color w:val="000000"/>
                <w:sz w:val="28"/>
                <w:szCs w:val="28"/>
              </w:rPr>
            </w:pPr>
            <w:r w:rsidRPr="00F0732E">
              <w:rPr>
                <w:color w:val="000000"/>
                <w:sz w:val="28"/>
                <w:szCs w:val="28"/>
              </w:rPr>
              <w:t>0</w:t>
            </w:r>
          </w:p>
        </w:tc>
      </w:tr>
      <w:tr w:rsidR="00B51749" w:rsidRPr="00F0732E" w:rsidTr="00447572">
        <w:tc>
          <w:tcPr>
            <w:tcW w:w="1296" w:type="dxa"/>
            <w:shd w:val="clear" w:color="auto" w:fill="auto"/>
          </w:tcPr>
          <w:p w:rsidR="00B51749" w:rsidRPr="00F0732E" w:rsidRDefault="00B51749" w:rsidP="00447572">
            <w:pPr>
              <w:rPr>
                <w:sz w:val="28"/>
                <w:szCs w:val="28"/>
              </w:rPr>
            </w:pPr>
            <w:r w:rsidRPr="00F0732E">
              <w:rPr>
                <w:sz w:val="28"/>
                <w:szCs w:val="28"/>
              </w:rPr>
              <w:t>14.5.2014</w:t>
            </w:r>
          </w:p>
        </w:tc>
        <w:tc>
          <w:tcPr>
            <w:tcW w:w="855"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jc w:val="left"/>
              <w:rPr>
                <w:sz w:val="28"/>
                <w:szCs w:val="28"/>
              </w:rPr>
            </w:pPr>
          </w:p>
        </w:tc>
        <w:tc>
          <w:tcPr>
            <w:tcW w:w="1018"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color w:val="000000"/>
                <w:sz w:val="28"/>
                <w:szCs w:val="28"/>
              </w:rPr>
            </w:pPr>
            <w:r w:rsidRPr="00F0732E">
              <w:rPr>
                <w:color w:val="000000"/>
                <w:sz w:val="28"/>
                <w:szCs w:val="28"/>
              </w:rPr>
              <w:t>0</w:t>
            </w:r>
          </w:p>
        </w:tc>
      </w:tr>
      <w:tr w:rsidR="00B51749" w:rsidRPr="00F0732E" w:rsidTr="00447572">
        <w:tc>
          <w:tcPr>
            <w:tcW w:w="1296" w:type="dxa"/>
            <w:shd w:val="clear" w:color="auto" w:fill="auto"/>
          </w:tcPr>
          <w:p w:rsidR="00B51749" w:rsidRPr="00F0732E" w:rsidRDefault="00B51749" w:rsidP="00447572">
            <w:pPr>
              <w:rPr>
                <w:sz w:val="28"/>
                <w:szCs w:val="28"/>
              </w:rPr>
            </w:pPr>
            <w:r w:rsidRPr="00F0732E">
              <w:rPr>
                <w:sz w:val="28"/>
                <w:szCs w:val="28"/>
              </w:rPr>
              <w:t>18.6.2014</w:t>
            </w:r>
          </w:p>
        </w:tc>
        <w:tc>
          <w:tcPr>
            <w:tcW w:w="855"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jc w:val="left"/>
              <w:rPr>
                <w:sz w:val="28"/>
                <w:szCs w:val="28"/>
              </w:rPr>
            </w:pPr>
          </w:p>
        </w:tc>
        <w:tc>
          <w:tcPr>
            <w:tcW w:w="1018" w:type="dxa"/>
            <w:shd w:val="clear" w:color="auto" w:fill="auto"/>
          </w:tcPr>
          <w:p w:rsidR="00B51749" w:rsidRPr="00F0732E" w:rsidRDefault="00B51749" w:rsidP="00447572">
            <w:pPr>
              <w:rPr>
                <w:sz w:val="28"/>
                <w:szCs w:val="28"/>
              </w:rPr>
            </w:pPr>
            <w:r w:rsidRPr="00F0732E">
              <w:rPr>
                <w:sz w:val="28"/>
                <w:szCs w:val="28"/>
              </w:rPr>
              <w:t>1</w:t>
            </w: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color w:val="000000"/>
                <w:sz w:val="28"/>
                <w:szCs w:val="28"/>
              </w:rPr>
            </w:pPr>
            <w:r w:rsidRPr="00F0732E">
              <w:rPr>
                <w:color w:val="000000"/>
                <w:sz w:val="28"/>
                <w:szCs w:val="28"/>
              </w:rPr>
              <w:t>1</w:t>
            </w:r>
          </w:p>
        </w:tc>
      </w:tr>
      <w:tr w:rsidR="00B51749" w:rsidRPr="00F0732E" w:rsidTr="00447572">
        <w:tc>
          <w:tcPr>
            <w:tcW w:w="1296" w:type="dxa"/>
            <w:shd w:val="clear" w:color="auto" w:fill="auto"/>
          </w:tcPr>
          <w:p w:rsidR="00B51749" w:rsidRPr="00F0732E" w:rsidRDefault="00B51749" w:rsidP="00447572">
            <w:pPr>
              <w:rPr>
                <w:sz w:val="28"/>
                <w:szCs w:val="28"/>
              </w:rPr>
            </w:pPr>
            <w:r w:rsidRPr="00F0732E">
              <w:rPr>
                <w:sz w:val="28"/>
                <w:szCs w:val="28"/>
              </w:rPr>
              <w:t>29.10.2014</w:t>
            </w:r>
          </w:p>
        </w:tc>
        <w:tc>
          <w:tcPr>
            <w:tcW w:w="855"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jc w:val="left"/>
              <w:rPr>
                <w:sz w:val="28"/>
                <w:szCs w:val="28"/>
              </w:rPr>
            </w:pPr>
          </w:p>
        </w:tc>
        <w:tc>
          <w:tcPr>
            <w:tcW w:w="1018"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r w:rsidRPr="00F0732E">
              <w:rPr>
                <w:sz w:val="28"/>
                <w:szCs w:val="28"/>
              </w:rPr>
              <w:t>0</w:t>
            </w:r>
          </w:p>
        </w:tc>
      </w:tr>
      <w:tr w:rsidR="00B51749" w:rsidRPr="00F0732E" w:rsidTr="00447572">
        <w:tc>
          <w:tcPr>
            <w:tcW w:w="1296" w:type="dxa"/>
            <w:shd w:val="clear" w:color="auto" w:fill="auto"/>
          </w:tcPr>
          <w:p w:rsidR="00B51749" w:rsidRPr="00F0732E" w:rsidRDefault="00B51749" w:rsidP="00447572">
            <w:pPr>
              <w:rPr>
                <w:sz w:val="28"/>
                <w:szCs w:val="28"/>
              </w:rPr>
            </w:pPr>
            <w:r w:rsidRPr="00F0732E">
              <w:rPr>
                <w:sz w:val="28"/>
                <w:szCs w:val="28"/>
              </w:rPr>
              <w:t>Spolu</w:t>
            </w:r>
          </w:p>
        </w:tc>
        <w:tc>
          <w:tcPr>
            <w:tcW w:w="855" w:type="dxa"/>
            <w:shd w:val="clear" w:color="auto" w:fill="auto"/>
          </w:tcPr>
          <w:p w:rsidR="00B51749" w:rsidRPr="00F0732E" w:rsidRDefault="00B51749" w:rsidP="00447572">
            <w:pPr>
              <w:rPr>
                <w:color w:val="000000"/>
                <w:sz w:val="28"/>
                <w:szCs w:val="28"/>
              </w:rPr>
            </w:pPr>
          </w:p>
        </w:tc>
        <w:tc>
          <w:tcPr>
            <w:tcW w:w="1018" w:type="dxa"/>
            <w:shd w:val="clear" w:color="auto" w:fill="auto"/>
          </w:tcPr>
          <w:p w:rsidR="00B51749" w:rsidRPr="00F0732E" w:rsidRDefault="00B51749" w:rsidP="00447572">
            <w:pPr>
              <w:rPr>
                <w:sz w:val="28"/>
                <w:szCs w:val="28"/>
              </w:rPr>
            </w:pPr>
          </w:p>
        </w:tc>
        <w:tc>
          <w:tcPr>
            <w:tcW w:w="1018" w:type="dxa"/>
            <w:shd w:val="clear" w:color="auto" w:fill="auto"/>
          </w:tcPr>
          <w:p w:rsidR="00B51749" w:rsidRPr="00F0732E" w:rsidRDefault="00B51749" w:rsidP="00447572">
            <w:pPr>
              <w:rPr>
                <w:sz w:val="28"/>
                <w:szCs w:val="28"/>
              </w:rPr>
            </w:pPr>
          </w:p>
        </w:tc>
        <w:tc>
          <w:tcPr>
            <w:tcW w:w="1023" w:type="dxa"/>
            <w:shd w:val="clear" w:color="auto" w:fill="auto"/>
          </w:tcPr>
          <w:p w:rsidR="00B51749" w:rsidRPr="00F0732E" w:rsidRDefault="00B51749" w:rsidP="00447572">
            <w:pPr>
              <w:jc w:val="left"/>
              <w:rPr>
                <w:sz w:val="28"/>
                <w:szCs w:val="28"/>
              </w:rPr>
            </w:pPr>
          </w:p>
        </w:tc>
        <w:tc>
          <w:tcPr>
            <w:tcW w:w="1018" w:type="dxa"/>
            <w:shd w:val="clear" w:color="auto" w:fill="auto"/>
          </w:tcPr>
          <w:p w:rsidR="00B51749" w:rsidRPr="00F0732E" w:rsidRDefault="00B51749" w:rsidP="00447572">
            <w:pPr>
              <w:rPr>
                <w:sz w:val="28"/>
                <w:szCs w:val="28"/>
              </w:rPr>
            </w:pPr>
            <w:r w:rsidRPr="00F0732E">
              <w:rPr>
                <w:sz w:val="28"/>
                <w:szCs w:val="28"/>
              </w:rPr>
              <w:t>1</w:t>
            </w: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p>
        </w:tc>
        <w:tc>
          <w:tcPr>
            <w:tcW w:w="1020" w:type="dxa"/>
            <w:shd w:val="clear" w:color="auto" w:fill="auto"/>
          </w:tcPr>
          <w:p w:rsidR="00B51749" w:rsidRPr="00F0732E" w:rsidRDefault="00B51749" w:rsidP="00447572">
            <w:pPr>
              <w:rPr>
                <w:sz w:val="28"/>
                <w:szCs w:val="28"/>
              </w:rPr>
            </w:pPr>
            <w:r w:rsidRPr="00F0732E">
              <w:rPr>
                <w:sz w:val="28"/>
                <w:szCs w:val="28"/>
              </w:rPr>
              <w:t>1</w:t>
            </w:r>
          </w:p>
        </w:tc>
      </w:tr>
    </w:tbl>
    <w:p w:rsidR="00B51749" w:rsidRPr="00F0732E" w:rsidRDefault="00B51749" w:rsidP="00B51749">
      <w:pPr>
        <w:rPr>
          <w:sz w:val="28"/>
          <w:szCs w:val="28"/>
          <w:u w:val="single"/>
        </w:rPr>
      </w:pPr>
    </w:p>
    <w:p w:rsidR="00B51749" w:rsidRPr="00F0732E" w:rsidRDefault="00B51749" w:rsidP="00B51749">
      <w:pPr>
        <w:rPr>
          <w:sz w:val="28"/>
          <w:szCs w:val="28"/>
          <w:u w:val="single"/>
        </w:rPr>
      </w:pPr>
      <w:r w:rsidRPr="00F0732E">
        <w:rPr>
          <w:sz w:val="28"/>
          <w:szCs w:val="28"/>
          <w:u w:val="single"/>
        </w:rPr>
        <w:t>18. 6. 2014</w:t>
      </w:r>
    </w:p>
    <w:p w:rsidR="00B51749" w:rsidRPr="00F0732E" w:rsidRDefault="00B51749" w:rsidP="00B51749">
      <w:pPr>
        <w:rPr>
          <w:sz w:val="28"/>
          <w:szCs w:val="28"/>
        </w:rPr>
      </w:pPr>
      <w:r w:rsidRPr="00F0732E">
        <w:rPr>
          <w:sz w:val="28"/>
          <w:szCs w:val="28"/>
        </w:rPr>
        <w:t>Ing. arch. Martin Kusý</w:t>
      </w:r>
    </w:p>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Na Vedeckej rade STU bolo prerokovaných a schválených 8 návrhov na udelenie čestného titulu „profesor emeritus“.</w:t>
      </w:r>
    </w:p>
    <w:p w:rsidR="00B51749" w:rsidRPr="00F0732E" w:rsidRDefault="00B51749" w:rsidP="00B51749">
      <w:pPr>
        <w:rPr>
          <w:sz w:val="28"/>
          <w:szCs w:val="28"/>
        </w:rPr>
      </w:pPr>
    </w:p>
    <w:p w:rsidR="00B51749" w:rsidRPr="00F0732E" w:rsidRDefault="00B51749" w:rsidP="00B51749">
      <w:pPr>
        <w:ind w:left="142"/>
        <w:rPr>
          <w:b/>
          <w:sz w:val="28"/>
          <w:szCs w:val="28"/>
        </w:rPr>
      </w:pPr>
      <w:r w:rsidRPr="00F0732E">
        <w:rPr>
          <w:b/>
          <w:sz w:val="28"/>
          <w:szCs w:val="28"/>
        </w:rPr>
        <w:lastRenderedPageBreak/>
        <w:t>Tabuľka 6.6: Prehľad návrhov na udelenie titulu „profesor emeritus“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61"/>
        <w:gridCol w:w="814"/>
        <w:gridCol w:w="829"/>
        <w:gridCol w:w="1084"/>
        <w:gridCol w:w="793"/>
        <w:gridCol w:w="906"/>
        <w:gridCol w:w="885"/>
        <w:gridCol w:w="878"/>
      </w:tblGrid>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VR STU</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SvF</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SjF</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FEI</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FCHPT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FA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MTF</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FIIT</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rPr>
                <w:b/>
                <w:sz w:val="28"/>
                <w:szCs w:val="28"/>
              </w:rPr>
            </w:pPr>
            <w:r w:rsidRPr="00F0732E">
              <w:rPr>
                <w:b/>
                <w:sz w:val="28"/>
                <w:szCs w:val="28"/>
              </w:rPr>
              <w:t>STU</w:t>
            </w:r>
          </w:p>
        </w:tc>
      </w:tr>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19.3.2014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r>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14.5.2014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r>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18.6.2014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3</w:t>
            </w:r>
          </w:p>
        </w:tc>
      </w:tr>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29.10.2014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3</w:t>
            </w:r>
          </w:p>
        </w:tc>
      </w:tr>
      <w:tr w:rsidR="00B51749" w:rsidRPr="00F0732E" w:rsidTr="00447572">
        <w:tc>
          <w:tcPr>
            <w:tcW w:w="145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Spolu</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51749" w:rsidRPr="00F0732E" w:rsidRDefault="00B51749" w:rsidP="00447572">
            <w:pPr>
              <w:jc w:val="left"/>
              <w:rPr>
                <w:sz w:val="28"/>
                <w:szCs w:val="28"/>
              </w:rPr>
            </w:pPr>
            <w:r w:rsidRPr="00F0732E">
              <w:rPr>
                <w:sz w:val="28"/>
                <w:szCs w:val="28"/>
              </w:rPr>
              <w:t>8</w:t>
            </w:r>
          </w:p>
        </w:tc>
      </w:tr>
    </w:tbl>
    <w:p w:rsidR="00B51749" w:rsidRPr="00F0732E" w:rsidRDefault="00B51749" w:rsidP="00B51749">
      <w:pPr>
        <w:rPr>
          <w:sz w:val="28"/>
          <w:szCs w:val="28"/>
          <w:u w:val="single"/>
        </w:rPr>
      </w:pPr>
    </w:p>
    <w:p w:rsidR="00B51749" w:rsidRPr="00F0732E" w:rsidRDefault="00B51749" w:rsidP="00B51749">
      <w:pPr>
        <w:rPr>
          <w:sz w:val="28"/>
          <w:szCs w:val="28"/>
        </w:rPr>
      </w:pPr>
      <w:r w:rsidRPr="00F0732E">
        <w:rPr>
          <w:sz w:val="28"/>
          <w:szCs w:val="28"/>
          <w:u w:val="single"/>
        </w:rPr>
        <w:t>19.3.2014</w:t>
      </w:r>
      <w:r w:rsidRPr="00F0732E">
        <w:rPr>
          <w:sz w:val="28"/>
          <w:szCs w:val="28"/>
        </w:rPr>
        <w:t xml:space="preserve"> </w:t>
      </w:r>
      <w:r w:rsidRPr="00F0732E">
        <w:rPr>
          <w:sz w:val="28"/>
          <w:szCs w:val="28"/>
        </w:rPr>
        <w:br/>
        <w:t>prof. RNDr. František Baliak, PhD.</w:t>
      </w:r>
    </w:p>
    <w:p w:rsidR="00B51749" w:rsidRPr="00F0732E" w:rsidRDefault="00B51749" w:rsidP="00B51749">
      <w:pPr>
        <w:rPr>
          <w:sz w:val="28"/>
          <w:szCs w:val="28"/>
          <w:u w:val="single"/>
        </w:rPr>
      </w:pPr>
      <w:r w:rsidRPr="00F0732E">
        <w:rPr>
          <w:sz w:val="28"/>
          <w:szCs w:val="28"/>
          <w:u w:val="single"/>
        </w:rPr>
        <w:t>14.5.2014</w:t>
      </w:r>
    </w:p>
    <w:p w:rsidR="00B51749" w:rsidRPr="00F0732E" w:rsidRDefault="00B51749" w:rsidP="00B51749">
      <w:pPr>
        <w:rPr>
          <w:sz w:val="28"/>
          <w:szCs w:val="28"/>
        </w:rPr>
      </w:pPr>
      <w:r w:rsidRPr="00F0732E">
        <w:rPr>
          <w:sz w:val="28"/>
          <w:szCs w:val="28"/>
        </w:rPr>
        <w:t>prof. RNDr. Ivan Baník, PhD.</w:t>
      </w:r>
    </w:p>
    <w:p w:rsidR="00B51749" w:rsidRPr="00F0732E" w:rsidRDefault="00B51749" w:rsidP="00B51749">
      <w:pPr>
        <w:jc w:val="left"/>
        <w:rPr>
          <w:sz w:val="28"/>
          <w:szCs w:val="28"/>
          <w:u w:val="single"/>
        </w:rPr>
      </w:pPr>
      <w:r w:rsidRPr="00F0732E">
        <w:rPr>
          <w:sz w:val="28"/>
          <w:szCs w:val="28"/>
          <w:u w:val="single"/>
        </w:rPr>
        <w:t>18.6.2014</w:t>
      </w:r>
    </w:p>
    <w:p w:rsidR="00B51749" w:rsidRPr="00F0732E" w:rsidRDefault="00B51749" w:rsidP="00B51749">
      <w:pPr>
        <w:jc w:val="left"/>
        <w:rPr>
          <w:sz w:val="28"/>
          <w:szCs w:val="28"/>
        </w:rPr>
      </w:pPr>
      <w:r w:rsidRPr="00F0732E">
        <w:rPr>
          <w:sz w:val="28"/>
          <w:szCs w:val="28"/>
        </w:rPr>
        <w:t xml:space="preserve">prof. RNDr. Ľudovít Molnár, DrSc. </w:t>
      </w:r>
      <w:r w:rsidRPr="00F0732E">
        <w:rPr>
          <w:sz w:val="28"/>
          <w:szCs w:val="28"/>
        </w:rPr>
        <w:br/>
        <w:t xml:space="preserve">prof. Ing. Svetozár Katuščák, PhD. </w:t>
      </w:r>
    </w:p>
    <w:p w:rsidR="00B51749" w:rsidRPr="00F0732E" w:rsidRDefault="00B51749" w:rsidP="00B51749">
      <w:pPr>
        <w:jc w:val="left"/>
        <w:rPr>
          <w:sz w:val="28"/>
          <w:szCs w:val="28"/>
        </w:rPr>
      </w:pPr>
      <w:r w:rsidRPr="00F0732E">
        <w:rPr>
          <w:sz w:val="28"/>
          <w:szCs w:val="28"/>
        </w:rPr>
        <w:t xml:space="preserve">prof. Ing. Jozef Sitek, DrSc. </w:t>
      </w:r>
    </w:p>
    <w:p w:rsidR="00B51749" w:rsidRPr="00F0732E" w:rsidRDefault="00B51749" w:rsidP="00B51749">
      <w:pPr>
        <w:jc w:val="left"/>
        <w:rPr>
          <w:sz w:val="28"/>
          <w:szCs w:val="28"/>
          <w:u w:val="single"/>
        </w:rPr>
      </w:pPr>
      <w:r w:rsidRPr="00F0732E">
        <w:rPr>
          <w:sz w:val="28"/>
          <w:szCs w:val="28"/>
          <w:u w:val="single"/>
        </w:rPr>
        <w:t>29.10.2014</w:t>
      </w:r>
    </w:p>
    <w:p w:rsidR="00B51749" w:rsidRPr="00F0732E" w:rsidRDefault="00B51749" w:rsidP="00B51749">
      <w:pPr>
        <w:jc w:val="left"/>
        <w:rPr>
          <w:sz w:val="28"/>
          <w:szCs w:val="28"/>
        </w:rPr>
      </w:pPr>
      <w:r w:rsidRPr="00F0732E">
        <w:rPr>
          <w:sz w:val="28"/>
          <w:szCs w:val="28"/>
        </w:rPr>
        <w:t xml:space="preserve">prof. Ing. Vojtech Veselý, DrSc. </w:t>
      </w:r>
      <w:r w:rsidRPr="00F0732E">
        <w:rPr>
          <w:sz w:val="28"/>
          <w:szCs w:val="28"/>
        </w:rPr>
        <w:br/>
        <w:t xml:space="preserve">prof. Ing. Pavel Fellner, DrSc. </w:t>
      </w:r>
    </w:p>
    <w:p w:rsidR="00B51749" w:rsidRPr="00F0732E" w:rsidRDefault="00B51749" w:rsidP="00B51749">
      <w:pPr>
        <w:jc w:val="left"/>
        <w:rPr>
          <w:sz w:val="28"/>
          <w:szCs w:val="28"/>
        </w:rPr>
      </w:pPr>
      <w:r w:rsidRPr="00F0732E">
        <w:rPr>
          <w:sz w:val="28"/>
          <w:szCs w:val="28"/>
        </w:rPr>
        <w:t xml:space="preserve">prof. RNDr. Ing. Mgr. Jozef Sumec, DrSc. </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 xml:space="preserve">Ocenenia: </w:t>
      </w:r>
      <w:r w:rsidRPr="00F0732E">
        <w:rPr>
          <w:b/>
          <w:sz w:val="28"/>
          <w:szCs w:val="28"/>
        </w:rPr>
        <w:br/>
      </w:r>
    </w:p>
    <w:p w:rsidR="00B51749" w:rsidRPr="00F0732E" w:rsidRDefault="00B51749" w:rsidP="00B51749">
      <w:pPr>
        <w:rPr>
          <w:b/>
          <w:sz w:val="28"/>
          <w:szCs w:val="28"/>
        </w:rPr>
      </w:pPr>
      <w:r w:rsidRPr="00F0732E">
        <w:rPr>
          <w:b/>
          <w:sz w:val="28"/>
          <w:szCs w:val="28"/>
        </w:rPr>
        <w:t>Plaketa STU</w:t>
      </w:r>
    </w:p>
    <w:p w:rsidR="00B51749" w:rsidRPr="00F0732E" w:rsidRDefault="00B51749" w:rsidP="00B51749">
      <w:pPr>
        <w:rPr>
          <w:sz w:val="28"/>
          <w:szCs w:val="28"/>
        </w:rPr>
      </w:pPr>
      <w:r w:rsidRPr="00F0732E">
        <w:rPr>
          <w:sz w:val="28"/>
          <w:szCs w:val="28"/>
        </w:rPr>
        <w:t xml:space="preserve">Rektor STU udelil v roku 2014 päť Plakiet STU </w:t>
      </w:r>
    </w:p>
    <w:p w:rsidR="00B51749" w:rsidRPr="00F0732E" w:rsidRDefault="00B51749" w:rsidP="00B51749">
      <w:pPr>
        <w:rPr>
          <w:sz w:val="28"/>
          <w:szCs w:val="28"/>
        </w:rPr>
      </w:pPr>
    </w:p>
    <w:p w:rsidR="00B51749" w:rsidRPr="00F0732E" w:rsidRDefault="00B51749" w:rsidP="00B51749">
      <w:pPr>
        <w:jc w:val="left"/>
        <w:rPr>
          <w:sz w:val="28"/>
          <w:szCs w:val="28"/>
        </w:rPr>
      </w:pPr>
      <w:r w:rsidRPr="00F0732E">
        <w:rPr>
          <w:sz w:val="28"/>
          <w:szCs w:val="28"/>
        </w:rPr>
        <w:t>prof. Ing. Jánovi Melicherovi, PhD.</w:t>
      </w:r>
    </w:p>
    <w:p w:rsidR="00B51749" w:rsidRPr="00F0732E" w:rsidRDefault="00B51749" w:rsidP="00B51749">
      <w:pPr>
        <w:jc w:val="left"/>
        <w:rPr>
          <w:sz w:val="28"/>
          <w:szCs w:val="28"/>
        </w:rPr>
      </w:pPr>
      <w:r w:rsidRPr="00F0732E">
        <w:rPr>
          <w:sz w:val="28"/>
          <w:szCs w:val="28"/>
        </w:rPr>
        <w:t>prof. Ing. Jánovi Garajovi, DrSc.</w:t>
      </w:r>
      <w:r w:rsidRPr="00F0732E">
        <w:rPr>
          <w:sz w:val="28"/>
          <w:szCs w:val="28"/>
        </w:rPr>
        <w:br/>
        <w:t>prof. Ing. Jurajovi Bízikovi, DrSc.</w:t>
      </w:r>
    </w:p>
    <w:p w:rsidR="00B51749" w:rsidRPr="00F0732E" w:rsidRDefault="00B51749" w:rsidP="00B51749">
      <w:pPr>
        <w:jc w:val="left"/>
        <w:rPr>
          <w:sz w:val="28"/>
          <w:szCs w:val="28"/>
        </w:rPr>
      </w:pPr>
      <w:r w:rsidRPr="00F0732E">
        <w:rPr>
          <w:sz w:val="28"/>
          <w:szCs w:val="28"/>
        </w:rPr>
        <w:t>prof. RNDr. Kataríne Horákovej, DrSc.</w:t>
      </w:r>
    </w:p>
    <w:p w:rsidR="00B51749" w:rsidRPr="00F0732E" w:rsidRDefault="00B51749" w:rsidP="00B51749">
      <w:pPr>
        <w:rPr>
          <w:sz w:val="28"/>
          <w:szCs w:val="28"/>
        </w:rPr>
      </w:pPr>
      <w:r w:rsidRPr="00F0732E">
        <w:rPr>
          <w:sz w:val="28"/>
          <w:szCs w:val="28"/>
        </w:rPr>
        <w:t>prof. Ing. Františkovi Janíčkovi, PhD.</w:t>
      </w:r>
    </w:p>
    <w:p w:rsidR="00B51749" w:rsidRPr="00F0732E" w:rsidRDefault="00B51749" w:rsidP="00B51749">
      <w:pPr>
        <w:rPr>
          <w:i/>
          <w:sz w:val="28"/>
          <w:szCs w:val="28"/>
        </w:rPr>
      </w:pPr>
      <w:r w:rsidRPr="00F0732E">
        <w:rPr>
          <w:i/>
          <w:sz w:val="28"/>
          <w:szCs w:val="28"/>
        </w:rPr>
        <w:t xml:space="preserve">pri príležitosti ich významného životného jubilea </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Medaila STU</w:t>
      </w:r>
      <w:bookmarkStart w:id="46" w:name="_Toc221901816"/>
    </w:p>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 xml:space="preserve">Rektor STU udelil v roku 2014 Medailu STU </w:t>
      </w:r>
    </w:p>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prof. Ing. Vladimírovi Bálešovi, DrSc.</w:t>
      </w:r>
    </w:p>
    <w:p w:rsidR="00B51749" w:rsidRPr="00F0732E" w:rsidRDefault="00B51749" w:rsidP="00B51749">
      <w:pPr>
        <w:rPr>
          <w:sz w:val="28"/>
          <w:szCs w:val="28"/>
        </w:rPr>
      </w:pPr>
      <w:r w:rsidRPr="00F0732E">
        <w:rPr>
          <w:sz w:val="28"/>
          <w:szCs w:val="28"/>
        </w:rPr>
        <w:t>Dr.h.c. prof. Ing. Milanovi Bielekovi, DrSc.</w:t>
      </w:r>
    </w:p>
    <w:p w:rsidR="00B51749" w:rsidRPr="00F0732E" w:rsidRDefault="00B51749" w:rsidP="00B51749">
      <w:pPr>
        <w:rPr>
          <w:sz w:val="28"/>
          <w:szCs w:val="28"/>
        </w:rPr>
      </w:pPr>
      <w:r w:rsidRPr="00F0732E">
        <w:rPr>
          <w:sz w:val="28"/>
          <w:szCs w:val="28"/>
        </w:rPr>
        <w:lastRenderedPageBreak/>
        <w:t>prof. Ing. Ivanovi Gschwendtovi, DrSc.</w:t>
      </w:r>
    </w:p>
    <w:p w:rsidR="00B51749" w:rsidRPr="00F0732E" w:rsidRDefault="00B51749" w:rsidP="00B51749">
      <w:pPr>
        <w:rPr>
          <w:i/>
          <w:sz w:val="28"/>
          <w:szCs w:val="28"/>
        </w:rPr>
      </w:pPr>
      <w:r w:rsidRPr="00F0732E">
        <w:rPr>
          <w:i/>
          <w:sz w:val="28"/>
          <w:szCs w:val="28"/>
        </w:rPr>
        <w:t xml:space="preserve">pri príležitosti ich významného životného jubilea </w:t>
      </w:r>
    </w:p>
    <w:p w:rsidR="00B51749" w:rsidRPr="00F0732E" w:rsidRDefault="00B51749" w:rsidP="00B51749">
      <w:pPr>
        <w:rPr>
          <w:b/>
          <w:sz w:val="28"/>
          <w:szCs w:val="28"/>
        </w:rPr>
      </w:pPr>
    </w:p>
    <w:p w:rsidR="00B51749" w:rsidRPr="00F0732E" w:rsidRDefault="00B51749" w:rsidP="00B51749">
      <w:pPr>
        <w:rPr>
          <w:sz w:val="28"/>
          <w:szCs w:val="28"/>
        </w:rPr>
      </w:pPr>
      <w:r w:rsidRPr="00F0732E">
        <w:rPr>
          <w:sz w:val="28"/>
          <w:szCs w:val="28"/>
        </w:rPr>
        <w:t xml:space="preserve">Od roku 2007 rektor Slovenskej technickej univerzity v Bratislave udeľuje významným osobnostiam ocenenia Vedec roka STU. </w:t>
      </w:r>
    </w:p>
    <w:p w:rsidR="00B51749" w:rsidRPr="00F0732E" w:rsidRDefault="00B51749" w:rsidP="00B51749">
      <w:pPr>
        <w:rPr>
          <w:sz w:val="28"/>
          <w:szCs w:val="28"/>
        </w:rPr>
      </w:pPr>
      <w:r w:rsidRPr="00F0732E">
        <w:rPr>
          <w:sz w:val="28"/>
          <w:szCs w:val="28"/>
        </w:rPr>
        <w:t xml:space="preserve">Cenu „Vedec roka STU 2014“ v kategórii </w:t>
      </w:r>
      <w:r w:rsidRPr="00F0732E">
        <w:rPr>
          <w:sz w:val="28"/>
          <w:szCs w:val="28"/>
          <w:u w:val="single"/>
        </w:rPr>
        <w:t>Významný vedecký prínos</w:t>
      </w:r>
      <w:r w:rsidRPr="00F0732E">
        <w:rPr>
          <w:sz w:val="28"/>
          <w:szCs w:val="28"/>
        </w:rPr>
        <w:t xml:space="preserve"> získala </w:t>
      </w:r>
      <w:r w:rsidRPr="00F0732E">
        <w:rPr>
          <w:b/>
          <w:sz w:val="28"/>
          <w:szCs w:val="28"/>
        </w:rPr>
        <w:t>prof. Dr. Ing. arch. Henrieta Moravčíková</w:t>
      </w:r>
      <w:r w:rsidRPr="00F0732E">
        <w:rPr>
          <w:b/>
          <w:sz w:val="28"/>
          <w:szCs w:val="28"/>
          <w:u w:val="single"/>
        </w:rPr>
        <w:t xml:space="preserve"> </w:t>
      </w:r>
      <w:r w:rsidRPr="00F0732E">
        <w:rPr>
          <w:sz w:val="28"/>
          <w:szCs w:val="28"/>
        </w:rPr>
        <w:t>z Ústavu dejín a teórie architektúry a obnovy pamiatok, Fakulty architektúry STU.</w:t>
      </w:r>
    </w:p>
    <w:p w:rsidR="00B51749" w:rsidRPr="00F0732E" w:rsidRDefault="00B51749" w:rsidP="00B51749">
      <w:pPr>
        <w:rPr>
          <w:sz w:val="28"/>
          <w:szCs w:val="28"/>
        </w:rPr>
      </w:pPr>
      <w:r w:rsidRPr="00F0732E">
        <w:rPr>
          <w:rFonts w:cs="Arial"/>
          <w:color w:val="000000"/>
          <w:sz w:val="28"/>
          <w:szCs w:val="28"/>
          <w:lang w:eastAsia="ar-SA"/>
        </w:rPr>
        <w:t xml:space="preserve">Cena jej bola udelená </w:t>
      </w:r>
      <w:r w:rsidRPr="00F0732E">
        <w:rPr>
          <w:sz w:val="28"/>
          <w:szCs w:val="28"/>
        </w:rPr>
        <w:t xml:space="preserve">za odhalenie súvislostí vzniku architektonického diela popredného predstaviteľa medzivojnovej architektúry na Slovensku Friedricha Weinwurma, objasnenie mechanizmu a jedinečných charakteristík jeho tvorby, ktoré navrhovaná podrobne opísala v monografii </w:t>
      </w:r>
      <w:r w:rsidRPr="00F0732E">
        <w:rPr>
          <w:i/>
          <w:sz w:val="28"/>
          <w:szCs w:val="28"/>
        </w:rPr>
        <w:t>Friedrich Weinwurm architekt/architec</w:t>
      </w:r>
      <w:r w:rsidRPr="00F0732E">
        <w:rPr>
          <w:sz w:val="28"/>
          <w:szCs w:val="28"/>
        </w:rPr>
        <w:t>t. Bratislava, Slovart 2014, 373 s., ako aj v sérii príspevkov v popredných vedeckých periodikách doma aj v zahraničí.</w:t>
      </w:r>
    </w:p>
    <w:p w:rsidR="00B51749" w:rsidRPr="00F0732E" w:rsidRDefault="00B51749" w:rsidP="00B51749">
      <w:pPr>
        <w:spacing w:after="120"/>
        <w:rPr>
          <w:b/>
          <w:sz w:val="28"/>
          <w:szCs w:val="28"/>
          <w:u w:val="single"/>
        </w:rPr>
      </w:pPr>
    </w:p>
    <w:p w:rsidR="00B51749" w:rsidRPr="00F0732E" w:rsidRDefault="00B51749" w:rsidP="00B51749">
      <w:pPr>
        <w:rPr>
          <w:sz w:val="28"/>
          <w:szCs w:val="28"/>
        </w:rPr>
      </w:pPr>
      <w:r w:rsidRPr="00F0732E">
        <w:rPr>
          <w:sz w:val="28"/>
          <w:szCs w:val="28"/>
        </w:rPr>
        <w:t>Cenu Vedec roka STU 2014 v kategórii M</w:t>
      </w:r>
      <w:r w:rsidRPr="00F0732E">
        <w:rPr>
          <w:sz w:val="28"/>
          <w:szCs w:val="28"/>
          <w:u w:val="single"/>
        </w:rPr>
        <w:t>ladý vedecký pracovník</w:t>
      </w:r>
      <w:r w:rsidRPr="00F0732E">
        <w:rPr>
          <w:sz w:val="28"/>
          <w:szCs w:val="28"/>
        </w:rPr>
        <w:t xml:space="preserve"> získal </w:t>
      </w:r>
      <w:r w:rsidRPr="00F0732E">
        <w:rPr>
          <w:b/>
          <w:sz w:val="28"/>
          <w:szCs w:val="28"/>
        </w:rPr>
        <w:t xml:space="preserve">Mgr. Marián Palcut, PhD. z </w:t>
      </w:r>
      <w:r w:rsidRPr="00F0732E">
        <w:rPr>
          <w:sz w:val="28"/>
          <w:szCs w:val="28"/>
        </w:rPr>
        <w:t>Ústavu materiálov Materiálovotechnologickej fakulty STU so sídlom v Trnave.</w:t>
      </w:r>
    </w:p>
    <w:p w:rsidR="00B51749" w:rsidRPr="00F0732E" w:rsidRDefault="00B51749" w:rsidP="00B51749">
      <w:pPr>
        <w:spacing w:after="120"/>
        <w:rPr>
          <w:rFonts w:cs="Calibri,Bold"/>
          <w:bCs/>
          <w:sz w:val="28"/>
          <w:szCs w:val="28"/>
        </w:rPr>
      </w:pPr>
      <w:r w:rsidRPr="00F0732E">
        <w:rPr>
          <w:rFonts w:cs="Arial"/>
          <w:color w:val="000000"/>
          <w:sz w:val="28"/>
          <w:szCs w:val="28"/>
          <w:lang w:eastAsia="ar-SA"/>
        </w:rPr>
        <w:t xml:space="preserve">Cena mu bola udelená </w:t>
      </w:r>
      <w:r w:rsidRPr="00F0732E">
        <w:rPr>
          <w:sz w:val="28"/>
          <w:szCs w:val="28"/>
        </w:rPr>
        <w:t xml:space="preserve">za </w:t>
      </w:r>
      <w:r w:rsidRPr="00F0732E">
        <w:rPr>
          <w:rFonts w:cs="Calibri,Bold"/>
          <w:bCs/>
          <w:sz w:val="28"/>
          <w:szCs w:val="28"/>
        </w:rPr>
        <w:t>komplexné štúdium degradačných procesov v nových a perspektívnych materiáloch. Výsledky jeho práce boli publikované v prestížnych vedeckých časopisoch s vysokým impakt faktorom Doteraz publikoval 20 článkov v impaktovaných časopisoch. Jeho práce boli citované viac ako 130-krát. Podľa databázy Scopus má jeho h-index hodnotu 8.</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Vedecký kvalifikačný stupeň</w:t>
      </w:r>
      <w:bookmarkEnd w:id="46"/>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Atestačná komisia STU, ktorej poslanie vyplýva z príslušných ustanovení vyhlášky SAV o vedeckých kvalifikačných stupňoch v roku 2014 pracovala v zložení: doc. Ing. </w:t>
      </w:r>
      <w:r w:rsidRPr="00F0732E">
        <w:rPr>
          <w:b/>
          <w:sz w:val="28"/>
          <w:szCs w:val="28"/>
        </w:rPr>
        <w:t>Jozef Novák</w:t>
      </w:r>
      <w:r w:rsidRPr="00F0732E">
        <w:rPr>
          <w:sz w:val="28"/>
          <w:szCs w:val="28"/>
        </w:rPr>
        <w:t xml:space="preserve">, DrSc., doc. Ing. </w:t>
      </w:r>
      <w:r w:rsidRPr="00F0732E">
        <w:rPr>
          <w:b/>
          <w:sz w:val="28"/>
          <w:szCs w:val="28"/>
        </w:rPr>
        <w:t>Stanislav Ďuriš</w:t>
      </w:r>
      <w:r w:rsidRPr="00F0732E">
        <w:rPr>
          <w:sz w:val="28"/>
          <w:szCs w:val="28"/>
        </w:rPr>
        <w:t xml:space="preserve">, PhD., Ing. </w:t>
      </w:r>
      <w:r w:rsidRPr="00F0732E">
        <w:rPr>
          <w:b/>
          <w:sz w:val="28"/>
          <w:szCs w:val="28"/>
        </w:rPr>
        <w:t>Peter Švec</w:t>
      </w:r>
      <w:r w:rsidRPr="00F0732E">
        <w:rPr>
          <w:sz w:val="28"/>
          <w:szCs w:val="28"/>
        </w:rPr>
        <w:t xml:space="preserve">, DrSc., prof. Ing. arch. </w:t>
      </w:r>
      <w:r w:rsidRPr="00F0732E">
        <w:rPr>
          <w:b/>
          <w:sz w:val="28"/>
          <w:szCs w:val="28"/>
        </w:rPr>
        <w:t>Matúš Dulla</w:t>
      </w:r>
      <w:r w:rsidRPr="00F0732E">
        <w:rPr>
          <w:sz w:val="28"/>
          <w:szCs w:val="28"/>
        </w:rPr>
        <w:t xml:space="preserve">, DrSc., prof. Ing. </w:t>
      </w:r>
      <w:r w:rsidRPr="00F0732E">
        <w:rPr>
          <w:b/>
          <w:sz w:val="28"/>
          <w:szCs w:val="28"/>
        </w:rPr>
        <w:t>Ján Tkáč,</w:t>
      </w:r>
      <w:r w:rsidRPr="00F0732E">
        <w:rPr>
          <w:sz w:val="28"/>
          <w:szCs w:val="28"/>
        </w:rPr>
        <w:t xml:space="preserve"> DrSc., doc. RNDr. </w:t>
      </w:r>
      <w:r w:rsidRPr="00F0732E">
        <w:rPr>
          <w:b/>
          <w:sz w:val="28"/>
          <w:szCs w:val="28"/>
        </w:rPr>
        <w:t>Ján Feranec</w:t>
      </w:r>
      <w:r w:rsidRPr="00F0732E">
        <w:rPr>
          <w:sz w:val="28"/>
          <w:szCs w:val="28"/>
        </w:rPr>
        <w:t xml:space="preserve">, DrSc., doc. Ing. </w:t>
      </w:r>
      <w:r w:rsidRPr="00F0732E">
        <w:rPr>
          <w:b/>
          <w:sz w:val="28"/>
          <w:szCs w:val="28"/>
        </w:rPr>
        <w:t>Ladislav Hluchý</w:t>
      </w:r>
      <w:r w:rsidRPr="00F0732E">
        <w:rPr>
          <w:sz w:val="28"/>
          <w:szCs w:val="28"/>
        </w:rPr>
        <w:t xml:space="preserve">, CSc., prof. Ing. </w:t>
      </w:r>
      <w:r w:rsidRPr="00F0732E">
        <w:rPr>
          <w:b/>
          <w:sz w:val="28"/>
          <w:szCs w:val="28"/>
        </w:rPr>
        <w:t>Ján Szolgay</w:t>
      </w:r>
      <w:r w:rsidRPr="00F0732E">
        <w:rPr>
          <w:sz w:val="28"/>
          <w:szCs w:val="28"/>
        </w:rPr>
        <w:t xml:space="preserve">, PhD., doc. Ing. </w:t>
      </w:r>
      <w:r w:rsidRPr="00F0732E">
        <w:rPr>
          <w:b/>
          <w:sz w:val="28"/>
          <w:szCs w:val="28"/>
        </w:rPr>
        <w:t>Ernest Gondár</w:t>
      </w:r>
      <w:r w:rsidRPr="00F0732E">
        <w:rPr>
          <w:sz w:val="28"/>
          <w:szCs w:val="28"/>
        </w:rPr>
        <w:t xml:space="preserve">, PhD., doc. Ing. </w:t>
      </w:r>
      <w:r w:rsidRPr="00F0732E">
        <w:rPr>
          <w:b/>
          <w:sz w:val="28"/>
          <w:szCs w:val="28"/>
        </w:rPr>
        <w:t>Milan Žiška</w:t>
      </w:r>
      <w:r w:rsidRPr="00F0732E">
        <w:rPr>
          <w:sz w:val="28"/>
          <w:szCs w:val="28"/>
        </w:rPr>
        <w:t xml:space="preserve">, PhD., prof. Ing. </w:t>
      </w:r>
      <w:r w:rsidRPr="00F0732E">
        <w:rPr>
          <w:b/>
          <w:sz w:val="28"/>
          <w:szCs w:val="28"/>
        </w:rPr>
        <w:t>Anton Gatial</w:t>
      </w:r>
      <w:r w:rsidRPr="00F0732E">
        <w:rPr>
          <w:sz w:val="28"/>
          <w:szCs w:val="28"/>
        </w:rPr>
        <w:t xml:space="preserve">, DrSc., prof. Dr. Ing. arch. </w:t>
      </w:r>
      <w:r w:rsidRPr="00F0732E">
        <w:rPr>
          <w:b/>
          <w:sz w:val="28"/>
          <w:szCs w:val="28"/>
        </w:rPr>
        <w:t>Henrieta Moravčíková</w:t>
      </w:r>
      <w:r w:rsidRPr="00F0732E">
        <w:rPr>
          <w:sz w:val="28"/>
          <w:szCs w:val="28"/>
        </w:rPr>
        <w:t xml:space="preserve">, prof. Ing. </w:t>
      </w:r>
      <w:r w:rsidRPr="00F0732E">
        <w:rPr>
          <w:b/>
          <w:sz w:val="28"/>
          <w:szCs w:val="28"/>
        </w:rPr>
        <w:t>Peter</w:t>
      </w:r>
      <w:r w:rsidRPr="00F0732E">
        <w:rPr>
          <w:sz w:val="28"/>
          <w:szCs w:val="28"/>
        </w:rPr>
        <w:t xml:space="preserve"> </w:t>
      </w:r>
      <w:r w:rsidRPr="00F0732E">
        <w:rPr>
          <w:b/>
          <w:sz w:val="28"/>
          <w:szCs w:val="28"/>
        </w:rPr>
        <w:t>Grgač</w:t>
      </w:r>
      <w:r w:rsidRPr="00F0732E">
        <w:rPr>
          <w:sz w:val="28"/>
          <w:szCs w:val="28"/>
        </w:rPr>
        <w:t xml:space="preserve">, CSc., doc Ing. </w:t>
      </w:r>
      <w:r w:rsidRPr="00F0732E">
        <w:rPr>
          <w:b/>
          <w:sz w:val="28"/>
          <w:szCs w:val="28"/>
        </w:rPr>
        <w:t>Viera Rozinajová</w:t>
      </w:r>
      <w:r w:rsidRPr="00F0732E">
        <w:rPr>
          <w:sz w:val="28"/>
          <w:szCs w:val="28"/>
        </w:rPr>
        <w:t xml:space="preserve">, PhD., doc. Ing. </w:t>
      </w:r>
      <w:r w:rsidRPr="00F0732E">
        <w:rPr>
          <w:b/>
          <w:sz w:val="28"/>
          <w:szCs w:val="28"/>
        </w:rPr>
        <w:t>Anna Ujhelyová</w:t>
      </w:r>
      <w:r w:rsidRPr="00F0732E">
        <w:rPr>
          <w:sz w:val="28"/>
          <w:szCs w:val="28"/>
        </w:rPr>
        <w:t xml:space="preserve">, PhD. a prof. Ing. </w:t>
      </w:r>
      <w:r w:rsidRPr="00F0732E">
        <w:rPr>
          <w:b/>
          <w:sz w:val="28"/>
          <w:szCs w:val="28"/>
        </w:rPr>
        <w:t>Stanislav Biskupič</w:t>
      </w:r>
      <w:r w:rsidRPr="00F0732E">
        <w:rPr>
          <w:sz w:val="28"/>
          <w:szCs w:val="28"/>
        </w:rPr>
        <w:t>, DrSc.</w:t>
      </w:r>
      <w:r w:rsidR="00F14D0F">
        <w:rPr>
          <w:sz w:val="28"/>
          <w:szCs w:val="28"/>
        </w:rPr>
        <w:t>,</w:t>
      </w:r>
      <w:r w:rsidRPr="00F0732E">
        <w:rPr>
          <w:sz w:val="28"/>
          <w:szCs w:val="28"/>
        </w:rPr>
        <w:t xml:space="preserve"> predseda. </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ind w:left="142"/>
        <w:rPr>
          <w:sz w:val="28"/>
          <w:szCs w:val="28"/>
        </w:rPr>
      </w:pPr>
      <w:r w:rsidRPr="00F0732E">
        <w:rPr>
          <w:b/>
          <w:sz w:val="28"/>
          <w:szCs w:val="28"/>
        </w:rPr>
        <w:lastRenderedPageBreak/>
        <w:t>Tabuľka 6.7:</w:t>
      </w:r>
      <w:r w:rsidRPr="00F0732E">
        <w:rPr>
          <w:sz w:val="28"/>
          <w:szCs w:val="28"/>
        </w:rPr>
        <w:t xml:space="preserve"> </w:t>
      </w:r>
      <w:r w:rsidRPr="00F0732E">
        <w:rPr>
          <w:b/>
          <w:sz w:val="28"/>
          <w:szCs w:val="28"/>
        </w:rPr>
        <w:t>Prehľad prerokovaných návrhov vedeckých kvalifikačných stupňov v Atestačnej komisii STU</w:t>
      </w:r>
    </w:p>
    <w:tbl>
      <w:tblPr>
        <w:tblW w:w="9430" w:type="dxa"/>
        <w:tblInd w:w="58" w:type="dxa"/>
        <w:tblCellMar>
          <w:left w:w="70" w:type="dxa"/>
          <w:right w:w="70" w:type="dxa"/>
        </w:tblCellMar>
        <w:tblLook w:val="04A0" w:firstRow="1" w:lastRow="0" w:firstColumn="1" w:lastColumn="0" w:noHBand="0" w:noVBand="1"/>
      </w:tblPr>
      <w:tblGrid>
        <w:gridCol w:w="3526"/>
        <w:gridCol w:w="940"/>
        <w:gridCol w:w="4964"/>
      </w:tblGrid>
      <w:tr w:rsidR="00B51749" w:rsidRPr="00F0732E" w:rsidTr="00447572">
        <w:trPr>
          <w:trHeight w:val="264"/>
        </w:trPr>
        <w:tc>
          <w:tcPr>
            <w:tcW w:w="3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749" w:rsidRPr="00F0732E" w:rsidRDefault="00B51749" w:rsidP="00447572">
            <w:pPr>
              <w:rPr>
                <w:b/>
                <w:bCs/>
                <w:sz w:val="28"/>
                <w:szCs w:val="28"/>
              </w:rPr>
            </w:pPr>
            <w:r w:rsidRPr="00F0732E">
              <w:rPr>
                <w:b/>
                <w:bCs/>
                <w:sz w:val="28"/>
                <w:szCs w:val="28"/>
              </w:rPr>
              <w:t>rok 2014</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 </w:t>
            </w:r>
          </w:p>
        </w:tc>
        <w:tc>
          <w:tcPr>
            <w:tcW w:w="4964" w:type="dxa"/>
            <w:tcBorders>
              <w:top w:val="single" w:sz="4" w:space="0" w:color="auto"/>
              <w:left w:val="nil"/>
              <w:bottom w:val="single" w:sz="4" w:space="0" w:color="auto"/>
              <w:right w:val="single" w:sz="4" w:space="0" w:color="auto"/>
            </w:tcBorders>
            <w:shd w:val="clear" w:color="auto" w:fill="auto"/>
            <w:noWrap/>
            <w:vAlign w:val="bottom"/>
          </w:tcPr>
          <w:p w:rsidR="00B51749" w:rsidRPr="00B96473" w:rsidRDefault="00B51749" w:rsidP="00012C3E">
            <w:pPr>
              <w:rPr>
                <w:b/>
                <w:sz w:val="28"/>
                <w:szCs w:val="28"/>
              </w:rPr>
            </w:pPr>
            <w:r w:rsidRPr="00F0732E">
              <w:rPr>
                <w:sz w:val="28"/>
                <w:szCs w:val="28"/>
              </w:rPr>
              <w:t> </w:t>
            </w:r>
            <w:r w:rsidR="00012C3E">
              <w:rPr>
                <w:b/>
                <w:sz w:val="28"/>
                <w:szCs w:val="28"/>
              </w:rPr>
              <w:t>Fakulta/Ústav</w:t>
            </w:r>
          </w:p>
        </w:tc>
      </w:tr>
      <w:tr w:rsidR="00B51749" w:rsidRPr="00F0732E" w:rsidTr="00447572">
        <w:trPr>
          <w:trHeight w:val="250"/>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color w:val="000000"/>
                <w:sz w:val="28"/>
                <w:szCs w:val="28"/>
              </w:rPr>
            </w:pPr>
            <w:r w:rsidRPr="00F0732E">
              <w:rPr>
                <w:b/>
                <w:sz w:val="28"/>
                <w:szCs w:val="28"/>
              </w:rPr>
              <w:t>Ing. Soňa Flickyngerová,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FEI STU, Ústav elektroniky a fotoniky</w:t>
            </w:r>
          </w:p>
        </w:tc>
      </w:tr>
      <w:tr w:rsidR="00B51749" w:rsidRPr="00F0732E" w:rsidTr="00447572">
        <w:trPr>
          <w:trHeight w:val="606"/>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sz w:val="28"/>
                <w:szCs w:val="28"/>
              </w:rPr>
            </w:pPr>
            <w:r w:rsidRPr="00F0732E">
              <w:rPr>
                <w:b/>
                <w:sz w:val="28"/>
                <w:szCs w:val="28"/>
              </w:rPr>
              <w:t>Ing. Aleš Chvála,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FEI STU, Ústav elektroniky a fotoniky</w:t>
            </w:r>
          </w:p>
        </w:tc>
      </w:tr>
      <w:tr w:rsidR="00B51749" w:rsidRPr="00F0732E" w:rsidTr="00447572">
        <w:trPr>
          <w:trHeight w:val="500"/>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sz w:val="28"/>
                <w:szCs w:val="28"/>
              </w:rPr>
            </w:pPr>
            <w:r w:rsidRPr="00F0732E">
              <w:rPr>
                <w:b/>
                <w:sz w:val="28"/>
                <w:szCs w:val="28"/>
              </w:rPr>
              <w:t>RNDr. Svatava Kašparová,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noWrap/>
            <w:vAlign w:val="bottom"/>
          </w:tcPr>
          <w:p w:rsidR="00B51749" w:rsidRPr="00F0732E" w:rsidRDefault="00B51749" w:rsidP="00B96473">
            <w:pPr>
              <w:jc w:val="left"/>
              <w:rPr>
                <w:sz w:val="28"/>
                <w:szCs w:val="28"/>
              </w:rPr>
            </w:pPr>
            <w:r w:rsidRPr="00F0732E">
              <w:rPr>
                <w:sz w:val="28"/>
                <w:szCs w:val="28"/>
              </w:rPr>
              <w:t>FCHPT STU, Ústav analytickej chémie</w:t>
            </w:r>
          </w:p>
        </w:tc>
      </w:tr>
      <w:tr w:rsidR="00B51749" w:rsidRPr="00F0732E" w:rsidTr="00447572">
        <w:trPr>
          <w:trHeight w:val="266"/>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sz w:val="28"/>
                <w:szCs w:val="28"/>
              </w:rPr>
            </w:pPr>
            <w:r w:rsidRPr="00F0732E">
              <w:rPr>
                <w:b/>
                <w:sz w:val="28"/>
                <w:szCs w:val="28"/>
              </w:rPr>
              <w:t>Mgr. Martin Konôpka,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FEI STU, Ústav jadrového a fyzikálneho inžinierstva</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Ing. Alžbeta Medveďová,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FCHPT STU, Ústav biochémie, výživy a ochrany zdravia</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RNDr. Pavol Priputen,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MTF STU, Ústav materiálov</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Ing. Lucia Bírošová,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 xml:space="preserve">FCHPT STU, Ústav biochémie, výživy a ochrany zdravia </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RNDr. Ján Marták,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FCHPT STU, Ústav chemického a environmentálneho</w:t>
            </w:r>
          </w:p>
          <w:p w:rsidR="00B51749" w:rsidRPr="00F0732E" w:rsidRDefault="00B51749" w:rsidP="00B96473">
            <w:pPr>
              <w:jc w:val="left"/>
              <w:rPr>
                <w:sz w:val="28"/>
                <w:szCs w:val="28"/>
              </w:rPr>
            </w:pPr>
            <w:r w:rsidRPr="00F0732E">
              <w:rPr>
                <w:sz w:val="28"/>
                <w:szCs w:val="28"/>
              </w:rPr>
              <w:t xml:space="preserve"> inžinierstva </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Ing. Petra Olejníková,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FCHPT STU, Ústav biochémie, výživy a ochrany zdravia</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b/>
                <w:sz w:val="28"/>
                <w:szCs w:val="28"/>
              </w:rPr>
            </w:pPr>
            <w:r w:rsidRPr="00F0732E">
              <w:rPr>
                <w:b/>
                <w:sz w:val="28"/>
                <w:szCs w:val="28"/>
              </w:rPr>
              <w:t>Ing. Viera Illeová,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FCHPT STU, Ústav chemického a environmentálneho</w:t>
            </w:r>
          </w:p>
          <w:p w:rsidR="00B51749" w:rsidRPr="00F0732E" w:rsidRDefault="00B51749" w:rsidP="00B96473">
            <w:pPr>
              <w:jc w:val="left"/>
              <w:rPr>
                <w:sz w:val="28"/>
                <w:szCs w:val="28"/>
              </w:rPr>
            </w:pPr>
            <w:r w:rsidRPr="00F0732E">
              <w:rPr>
                <w:sz w:val="28"/>
                <w:szCs w:val="28"/>
              </w:rPr>
              <w:t xml:space="preserve"> inžinierstva </w:t>
            </w:r>
          </w:p>
        </w:tc>
      </w:tr>
      <w:tr w:rsidR="00B51749" w:rsidRPr="00F0732E" w:rsidTr="00447572">
        <w:trPr>
          <w:trHeight w:val="129"/>
        </w:trPr>
        <w:tc>
          <w:tcPr>
            <w:tcW w:w="3526" w:type="dxa"/>
            <w:tcBorders>
              <w:top w:val="nil"/>
              <w:left w:val="single" w:sz="4" w:space="0" w:color="auto"/>
              <w:bottom w:val="single" w:sz="4" w:space="0" w:color="auto"/>
              <w:right w:val="single" w:sz="4" w:space="0" w:color="auto"/>
            </w:tcBorders>
            <w:shd w:val="clear" w:color="auto" w:fill="auto"/>
            <w:noWrap/>
            <w:vAlign w:val="bottom"/>
          </w:tcPr>
          <w:p w:rsidR="00B51749" w:rsidRPr="00F0732E" w:rsidRDefault="00B51749" w:rsidP="00B96473">
            <w:pPr>
              <w:jc w:val="left"/>
              <w:rPr>
                <w:sz w:val="28"/>
                <w:szCs w:val="28"/>
              </w:rPr>
            </w:pPr>
            <w:r w:rsidRPr="00F0732E">
              <w:rPr>
                <w:b/>
                <w:sz w:val="28"/>
                <w:szCs w:val="28"/>
              </w:rPr>
              <w:t>Ing. Mário Izakovič, PhD.</w:t>
            </w:r>
          </w:p>
        </w:tc>
        <w:tc>
          <w:tcPr>
            <w:tcW w:w="940" w:type="dxa"/>
            <w:tcBorders>
              <w:top w:val="nil"/>
              <w:left w:val="nil"/>
              <w:bottom w:val="single" w:sz="4" w:space="0" w:color="auto"/>
              <w:right w:val="single" w:sz="4" w:space="0" w:color="auto"/>
            </w:tcBorders>
            <w:shd w:val="clear" w:color="auto" w:fill="auto"/>
            <w:noWrap/>
            <w:vAlign w:val="bottom"/>
          </w:tcPr>
          <w:p w:rsidR="00B51749" w:rsidRPr="00F0732E" w:rsidRDefault="00B51749" w:rsidP="00447572">
            <w:pPr>
              <w:rPr>
                <w:sz w:val="28"/>
                <w:szCs w:val="28"/>
              </w:rPr>
            </w:pPr>
            <w:r w:rsidRPr="00F0732E">
              <w:rPr>
                <w:sz w:val="28"/>
                <w:szCs w:val="28"/>
              </w:rPr>
              <w:t>VKS IIa</w:t>
            </w:r>
          </w:p>
        </w:tc>
        <w:tc>
          <w:tcPr>
            <w:tcW w:w="4964" w:type="dxa"/>
            <w:tcBorders>
              <w:top w:val="nil"/>
              <w:left w:val="nil"/>
              <w:bottom w:val="single" w:sz="4" w:space="0" w:color="auto"/>
              <w:right w:val="single" w:sz="4" w:space="0" w:color="auto"/>
            </w:tcBorders>
            <w:shd w:val="clear" w:color="auto" w:fill="auto"/>
            <w:vAlign w:val="bottom"/>
          </w:tcPr>
          <w:p w:rsidR="00B51749" w:rsidRPr="00F0732E" w:rsidRDefault="00B51749" w:rsidP="00B96473">
            <w:pPr>
              <w:jc w:val="left"/>
              <w:rPr>
                <w:sz w:val="28"/>
                <w:szCs w:val="28"/>
              </w:rPr>
            </w:pPr>
            <w:r w:rsidRPr="00F0732E">
              <w:rPr>
                <w:sz w:val="28"/>
                <w:szCs w:val="28"/>
              </w:rPr>
              <w:t>FCHPT STU, Ústav anorganickej chémie, technológie a materiálov</w:t>
            </w:r>
          </w:p>
        </w:tc>
      </w:tr>
    </w:tbl>
    <w:p w:rsidR="00B51749" w:rsidRPr="00F0732E" w:rsidRDefault="00B51749" w:rsidP="00B51749">
      <w:pPr>
        <w:ind w:left="357"/>
        <w:rPr>
          <w:sz w:val="28"/>
          <w:szCs w:val="28"/>
        </w:rPr>
      </w:pP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47" w:name="_Toc413009349"/>
      <w:r w:rsidRPr="00F0732E">
        <w:rPr>
          <w:rFonts w:ascii="Cambria" w:hAnsi="Cambria"/>
          <w:color w:val="auto"/>
          <w:sz w:val="28"/>
          <w:szCs w:val="28"/>
        </w:rPr>
        <w:t>Zamestnanci vysokej školy</w:t>
      </w:r>
      <w:bookmarkEnd w:id="47"/>
    </w:p>
    <w:p w:rsidR="00B51749" w:rsidRPr="00F0732E" w:rsidRDefault="00B51749" w:rsidP="00B51749">
      <w:pPr>
        <w:rPr>
          <w:color w:val="FF0000"/>
          <w:sz w:val="28"/>
          <w:szCs w:val="28"/>
          <w:lang w:eastAsia="cs-CZ"/>
        </w:rPr>
      </w:pPr>
    </w:p>
    <w:p w:rsidR="00B51749" w:rsidRPr="00F0732E" w:rsidRDefault="00B51749" w:rsidP="00B51749">
      <w:pPr>
        <w:pStyle w:val="Default"/>
        <w:jc w:val="both"/>
        <w:rPr>
          <w:rFonts w:ascii="Cambria" w:hAnsi="Cambria" w:cs="Times New Roman"/>
          <w:color w:val="FF0000"/>
          <w:sz w:val="28"/>
          <w:szCs w:val="28"/>
          <w:lang w:val="sk-SK"/>
        </w:rPr>
      </w:pPr>
      <w:r w:rsidRPr="00440AB3">
        <w:rPr>
          <w:rFonts w:ascii="Cambria" w:hAnsi="Cambria" w:cs="Times New Roman"/>
          <w:color w:val="auto"/>
          <w:sz w:val="28"/>
          <w:szCs w:val="28"/>
          <w:lang w:val="sk-SK"/>
        </w:rPr>
        <w:t xml:space="preserve">Celkový </w:t>
      </w:r>
      <w:r w:rsidRPr="00440AB3">
        <w:rPr>
          <w:rFonts w:ascii="Cambria" w:hAnsi="Cambria" w:cs="Times New Roman"/>
          <w:b/>
          <w:color w:val="auto"/>
          <w:sz w:val="28"/>
          <w:szCs w:val="28"/>
          <w:lang w:val="sk-SK"/>
        </w:rPr>
        <w:t>počet zamestnancov univerzity sa medziročne znížil</w:t>
      </w:r>
      <w:r w:rsidRPr="00440AB3">
        <w:rPr>
          <w:rFonts w:ascii="Cambria" w:hAnsi="Cambria" w:cs="Times New Roman"/>
          <w:color w:val="auto"/>
          <w:sz w:val="28"/>
          <w:szCs w:val="28"/>
          <w:lang w:val="sk-SK"/>
        </w:rPr>
        <w:t xml:space="preserve">, negatívnom je, že oproti minulým rokom sa znížil aj počet vysokoškolských učiteľov a tiež </w:t>
      </w:r>
      <w:r w:rsidR="00F14D0F" w:rsidRPr="00440AB3">
        <w:rPr>
          <w:rFonts w:ascii="Cambria" w:hAnsi="Cambria" w:cs="Times New Roman"/>
          <w:color w:val="auto"/>
          <w:sz w:val="28"/>
          <w:szCs w:val="28"/>
          <w:lang w:val="sk-SK"/>
        </w:rPr>
        <w:t>vedeckovýskumných pracovníkov.</w:t>
      </w:r>
      <w:r w:rsidR="00F14D0F">
        <w:rPr>
          <w:rFonts w:ascii="Cambria" w:hAnsi="Cambria" w:cs="Times New Roman"/>
          <w:color w:val="auto"/>
          <w:sz w:val="28"/>
          <w:szCs w:val="28"/>
          <w:lang w:val="sk-SK"/>
        </w:rPr>
        <w:t xml:space="preserve"> </w:t>
      </w:r>
      <w:r w:rsidRPr="00F0732E">
        <w:rPr>
          <w:rFonts w:ascii="Cambria" w:hAnsi="Cambria" w:cs="Times New Roman"/>
          <w:color w:val="auto"/>
          <w:sz w:val="28"/>
          <w:szCs w:val="28"/>
          <w:lang w:val="sk-SK"/>
        </w:rPr>
        <w:t>Zastavil sa tak trend</w:t>
      </w:r>
      <w:r w:rsidR="00440AB3">
        <w:rPr>
          <w:rFonts w:ascii="Cambria" w:hAnsi="Cambria" w:cs="Times New Roman"/>
          <w:color w:val="auto"/>
          <w:sz w:val="28"/>
          <w:szCs w:val="28"/>
          <w:lang w:val="sk-SK"/>
        </w:rPr>
        <w:t xml:space="preserve"> z posledných rokov</w:t>
      </w:r>
      <w:r w:rsidRPr="00F0732E">
        <w:rPr>
          <w:rFonts w:ascii="Cambria" w:hAnsi="Cambria" w:cs="Times New Roman"/>
          <w:color w:val="auto"/>
          <w:sz w:val="28"/>
          <w:szCs w:val="28"/>
          <w:lang w:val="sk-SK"/>
        </w:rPr>
        <w:t>, keď síce na un</w:t>
      </w:r>
      <w:r w:rsidR="00F14D0F">
        <w:rPr>
          <w:rFonts w:ascii="Cambria" w:hAnsi="Cambria" w:cs="Times New Roman"/>
          <w:color w:val="auto"/>
          <w:sz w:val="28"/>
          <w:szCs w:val="28"/>
          <w:lang w:val="sk-SK"/>
        </w:rPr>
        <w:t>i</w:t>
      </w:r>
      <w:r w:rsidRPr="00F0732E">
        <w:rPr>
          <w:rFonts w:ascii="Cambria" w:hAnsi="Cambria" w:cs="Times New Roman"/>
          <w:color w:val="auto"/>
          <w:sz w:val="28"/>
          <w:szCs w:val="28"/>
          <w:lang w:val="sk-SK"/>
        </w:rPr>
        <w:t>verzite klesali celkové počty zamestnancov, ale rástli počty vedeckovýskumných pracovníkov a vysokoškolských uči</w:t>
      </w:r>
      <w:r w:rsidR="00F14D0F">
        <w:rPr>
          <w:rFonts w:ascii="Cambria" w:hAnsi="Cambria" w:cs="Times New Roman"/>
          <w:color w:val="auto"/>
          <w:sz w:val="28"/>
          <w:szCs w:val="28"/>
          <w:lang w:val="sk-SK"/>
        </w:rPr>
        <w:t xml:space="preserve">teľov. Táto zmena je dôsledkom </w:t>
      </w:r>
      <w:r w:rsidRPr="00F0732E">
        <w:rPr>
          <w:rFonts w:ascii="Cambria" w:hAnsi="Cambria" w:cs="Times New Roman"/>
          <w:color w:val="auto"/>
          <w:sz w:val="28"/>
          <w:szCs w:val="28"/>
          <w:lang w:val="sk-SK"/>
        </w:rPr>
        <w:t>znižovani</w:t>
      </w:r>
      <w:r w:rsidR="00F14D0F">
        <w:rPr>
          <w:rFonts w:ascii="Cambria" w:hAnsi="Cambria" w:cs="Times New Roman"/>
          <w:color w:val="auto"/>
          <w:sz w:val="28"/>
          <w:szCs w:val="28"/>
          <w:lang w:val="sk-SK"/>
        </w:rPr>
        <w:t>a</w:t>
      </w:r>
      <w:r w:rsidRPr="00F0732E">
        <w:rPr>
          <w:rFonts w:ascii="Cambria" w:hAnsi="Cambria" w:cs="Times New Roman"/>
          <w:color w:val="auto"/>
          <w:sz w:val="28"/>
          <w:szCs w:val="28"/>
          <w:lang w:val="sk-SK"/>
        </w:rPr>
        <w:t xml:space="preserve"> rozpočtov škôl a niekoľkomesačného </w:t>
      </w:r>
      <w:r w:rsidRPr="00F0732E">
        <w:rPr>
          <w:rFonts w:ascii="Cambria" w:hAnsi="Cambria" w:cs="Times New Roman"/>
          <w:color w:val="auto"/>
          <w:sz w:val="28"/>
          <w:szCs w:val="28"/>
          <w:lang w:val="sk-SK"/>
        </w:rPr>
        <w:lastRenderedPageBreak/>
        <w:t xml:space="preserve">rozpočtového provizória v úvode roka 2014. </w:t>
      </w:r>
    </w:p>
    <w:p w:rsidR="00B51749" w:rsidRPr="00F0732E" w:rsidRDefault="00B51749" w:rsidP="00B51749">
      <w:pPr>
        <w:pStyle w:val="Default"/>
        <w:jc w:val="both"/>
        <w:rPr>
          <w:rFonts w:ascii="Cambria" w:hAnsi="Cambria" w:cs="Times New Roman"/>
          <w:color w:val="auto"/>
          <w:sz w:val="28"/>
          <w:szCs w:val="28"/>
          <w:lang w:val="sk-SK"/>
        </w:rPr>
      </w:pP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V roku 2014 bol priemerný počet zamestnancov na STU 2</w:t>
      </w:r>
      <w:r w:rsidR="00F14D0F">
        <w:rPr>
          <w:rFonts w:ascii="Cambria" w:hAnsi="Cambria" w:cs="Times New Roman"/>
          <w:color w:val="auto"/>
          <w:sz w:val="28"/>
          <w:szCs w:val="28"/>
          <w:lang w:val="sk-SK"/>
        </w:rPr>
        <w:t xml:space="preserve"> </w:t>
      </w:r>
      <w:r w:rsidRPr="00F0732E">
        <w:rPr>
          <w:rFonts w:ascii="Cambria" w:hAnsi="Cambria" w:cs="Times New Roman"/>
          <w:color w:val="auto"/>
          <w:sz w:val="28"/>
          <w:szCs w:val="28"/>
          <w:lang w:val="sk-SK"/>
        </w:rPr>
        <w:t>935, z toho bolo 1</w:t>
      </w:r>
      <w:r w:rsidR="00F14D0F">
        <w:rPr>
          <w:rFonts w:ascii="Cambria" w:hAnsi="Cambria" w:cs="Times New Roman"/>
          <w:color w:val="auto"/>
          <w:sz w:val="28"/>
          <w:szCs w:val="28"/>
          <w:lang w:val="sk-SK"/>
        </w:rPr>
        <w:t xml:space="preserve"> </w:t>
      </w:r>
      <w:r w:rsidRPr="00F0732E">
        <w:rPr>
          <w:rFonts w:ascii="Cambria" w:hAnsi="Cambria" w:cs="Times New Roman"/>
          <w:color w:val="auto"/>
          <w:sz w:val="28"/>
          <w:szCs w:val="28"/>
          <w:lang w:val="sk-SK"/>
        </w:rPr>
        <w:t>158 vysokoškolských učiteľov a 438 vedeckovýskumných zamestnancov.</w:t>
      </w: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V roku 2013 bol priemerný počet zamestnancov na STU 2 998, z toho bolo 1</w:t>
      </w:r>
      <w:r w:rsidR="00F14D0F">
        <w:rPr>
          <w:rFonts w:ascii="Cambria" w:hAnsi="Cambria" w:cs="Times New Roman"/>
          <w:color w:val="auto"/>
          <w:sz w:val="28"/>
          <w:szCs w:val="28"/>
          <w:lang w:val="sk-SK"/>
        </w:rPr>
        <w:t xml:space="preserve"> </w:t>
      </w:r>
      <w:r w:rsidRPr="00F0732E">
        <w:rPr>
          <w:rFonts w:ascii="Cambria" w:hAnsi="Cambria" w:cs="Times New Roman"/>
          <w:color w:val="auto"/>
          <w:sz w:val="28"/>
          <w:szCs w:val="28"/>
          <w:lang w:val="sk-SK"/>
        </w:rPr>
        <w:t xml:space="preserve">175 vysokoškolských učiteľov a 450 </w:t>
      </w:r>
      <w:r w:rsidR="00440AB3">
        <w:rPr>
          <w:rFonts w:ascii="Cambria" w:hAnsi="Cambria" w:cs="Times New Roman"/>
          <w:color w:val="auto"/>
          <w:sz w:val="28"/>
          <w:szCs w:val="28"/>
          <w:lang w:val="sk-SK"/>
        </w:rPr>
        <w:t xml:space="preserve">vedeckovýskumných pracovníkov. </w:t>
      </w:r>
    </w:p>
    <w:p w:rsidR="00B51749" w:rsidRPr="00F0732E" w:rsidRDefault="00B51749" w:rsidP="00B51749">
      <w:pPr>
        <w:pStyle w:val="Default"/>
        <w:rPr>
          <w:rFonts w:ascii="Cambria" w:hAnsi="Cambria" w:cs="Times New Roman"/>
          <w:color w:val="FF0000"/>
          <w:sz w:val="28"/>
          <w:szCs w:val="28"/>
          <w:lang w:val="sk-SK"/>
        </w:rPr>
      </w:pPr>
    </w:p>
    <w:p w:rsidR="00B51749" w:rsidRPr="00440AB3" w:rsidRDefault="00B51749" w:rsidP="00440AB3">
      <w:pPr>
        <w:pStyle w:val="Default"/>
        <w:rPr>
          <w:rFonts w:ascii="Cambria" w:hAnsi="Cambria" w:cs="Times New Roman"/>
          <w:b/>
          <w:color w:val="auto"/>
          <w:sz w:val="28"/>
          <w:szCs w:val="28"/>
          <w:lang w:val="sk-SK"/>
        </w:rPr>
      </w:pPr>
      <w:r w:rsidRPr="00F0732E">
        <w:rPr>
          <w:rFonts w:ascii="Cambria" w:hAnsi="Cambria" w:cs="Times New Roman"/>
          <w:b/>
          <w:color w:val="auto"/>
          <w:sz w:val="28"/>
          <w:szCs w:val="28"/>
          <w:lang w:val="sk-SK"/>
        </w:rPr>
        <w:t>Graf 7.1: Vývoj zamestnanosti na STU, porovnanie rokov 2009</w:t>
      </w:r>
      <w:r w:rsidR="00F14D0F">
        <w:rPr>
          <w:rFonts w:ascii="Cambria" w:hAnsi="Cambria" w:cs="Times New Roman"/>
          <w:b/>
          <w:color w:val="auto"/>
          <w:sz w:val="28"/>
          <w:szCs w:val="28"/>
          <w:lang w:val="sk-SK"/>
        </w:rPr>
        <w:t xml:space="preserve"> – </w:t>
      </w:r>
      <w:r w:rsidR="00440AB3">
        <w:rPr>
          <w:rFonts w:ascii="Cambria" w:hAnsi="Cambria" w:cs="Times New Roman"/>
          <w:b/>
          <w:color w:val="auto"/>
          <w:sz w:val="28"/>
          <w:szCs w:val="28"/>
          <w:lang w:val="sk-SK"/>
        </w:rPr>
        <w:t>2014</w:t>
      </w:r>
    </w:p>
    <w:p w:rsidR="00B51749" w:rsidRPr="00F0732E" w:rsidRDefault="00B51749" w:rsidP="00B51749">
      <w:pPr>
        <w:rPr>
          <w:color w:val="FF0000"/>
          <w:sz w:val="28"/>
          <w:szCs w:val="28"/>
        </w:rPr>
      </w:pPr>
    </w:p>
    <w:p w:rsidR="00B51749" w:rsidRPr="00F0732E" w:rsidRDefault="00B51749" w:rsidP="00B51749">
      <w:pPr>
        <w:rPr>
          <w:color w:val="FF0000"/>
          <w:sz w:val="28"/>
          <w:szCs w:val="28"/>
        </w:rPr>
      </w:pPr>
      <w:r>
        <w:rPr>
          <w:noProof/>
          <w:lang w:eastAsia="sk-SK"/>
        </w:rPr>
        <w:drawing>
          <wp:inline distT="0" distB="0" distL="0" distR="0">
            <wp:extent cx="5762625" cy="3456305"/>
            <wp:effectExtent l="0" t="0" r="0" b="0"/>
            <wp:docPr id="1" name="Graf 1" descr="Nadpis: Vývoj zamestnanosti"/>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51749" w:rsidRPr="00F0732E" w:rsidRDefault="00B51749" w:rsidP="00B51749">
      <w:pPr>
        <w:rPr>
          <w:color w:val="FF0000"/>
          <w:sz w:val="28"/>
          <w:szCs w:val="28"/>
        </w:rPr>
      </w:pPr>
    </w:p>
    <w:p w:rsidR="00440AB3" w:rsidRDefault="00440AB3" w:rsidP="00B51749">
      <w:pPr>
        <w:pStyle w:val="Default"/>
        <w:jc w:val="both"/>
        <w:rPr>
          <w:rFonts w:ascii="Cambria" w:hAnsi="Cambria" w:cs="Times New Roman"/>
          <w:color w:val="auto"/>
          <w:sz w:val="28"/>
          <w:szCs w:val="28"/>
          <w:lang w:val="sk-SK"/>
        </w:rPr>
      </w:pP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Mzdy zamestnancov boli v prevažnej miere hradené z finan</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ných prostriedkov zo štátneho rozpo</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tu, a  to z dotácie Ministerstva školstva, vedy, výskumu a športu SR poskytnutej prostredníctvom dota</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 xml:space="preserve">nej zmluvy. </w:t>
      </w:r>
    </w:p>
    <w:p w:rsidR="00B51749" w:rsidRPr="00F0732E" w:rsidRDefault="00B51749" w:rsidP="00B51749">
      <w:pPr>
        <w:pStyle w:val="Default"/>
        <w:jc w:val="both"/>
        <w:rPr>
          <w:rFonts w:ascii="Cambria" w:hAnsi="Cambria" w:cs="Times New Roman"/>
          <w:color w:val="auto"/>
          <w:sz w:val="28"/>
          <w:szCs w:val="28"/>
          <w:lang w:val="sk-SK"/>
        </w:rPr>
      </w:pPr>
      <w:r w:rsidRPr="00F0732E">
        <w:rPr>
          <w:rFonts w:ascii="Cambria" w:hAnsi="Cambria" w:cs="Times New Roman"/>
          <w:color w:val="auto"/>
          <w:sz w:val="28"/>
          <w:szCs w:val="28"/>
          <w:lang w:val="sk-SK"/>
        </w:rPr>
        <w:t>Z finan</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ných prostriedkov štátneho rozpo</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tu mimo dota</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nej zmluvy boli odme</w:t>
      </w:r>
      <w:r w:rsidRPr="00F0732E">
        <w:rPr>
          <w:rFonts w:ascii="Cambria" w:eastAsia="TimesNewRoman" w:hAnsi="Cambria" w:cs="Times New Roman"/>
          <w:color w:val="auto"/>
          <w:sz w:val="28"/>
          <w:szCs w:val="28"/>
          <w:lang w:val="sk-SK"/>
        </w:rPr>
        <w:t>ň</w:t>
      </w:r>
      <w:r w:rsidRPr="00F0732E">
        <w:rPr>
          <w:rFonts w:ascii="Cambria" w:hAnsi="Cambria" w:cs="Times New Roman"/>
          <w:color w:val="auto"/>
          <w:sz w:val="28"/>
          <w:szCs w:val="28"/>
          <w:lang w:val="sk-SK"/>
        </w:rPr>
        <w:t>ovaní zamestnanci, ktorí sa podie</w:t>
      </w:r>
      <w:r w:rsidRPr="00F0732E">
        <w:rPr>
          <w:rFonts w:ascii="Cambria" w:eastAsia="TimesNewRoman" w:hAnsi="Cambria" w:cs="Times New Roman"/>
          <w:color w:val="auto"/>
          <w:sz w:val="28"/>
          <w:szCs w:val="28"/>
          <w:lang w:val="sk-SK"/>
        </w:rPr>
        <w:t>ľ</w:t>
      </w:r>
      <w:r w:rsidRPr="00F0732E">
        <w:rPr>
          <w:rFonts w:ascii="Cambria" w:hAnsi="Cambria" w:cs="Times New Roman"/>
          <w:color w:val="auto"/>
          <w:sz w:val="28"/>
          <w:szCs w:val="28"/>
          <w:lang w:val="sk-SK"/>
        </w:rPr>
        <w:t xml:space="preserve">ali na riešení úloh výskumu a vývoja financovaných prostredníctvom Agentúry na podporu výskumu a vývoja a zamestnanci podieľajúci sa na riešení projektov financovaných zo štrukturálnych fondov. </w:t>
      </w:r>
      <w:r w:rsidRPr="00F0732E">
        <w:rPr>
          <w:rFonts w:ascii="Cambria" w:eastAsia="TimesNewRoman" w:hAnsi="Cambria" w:cs="Times New Roman"/>
          <w:color w:val="auto"/>
          <w:sz w:val="28"/>
          <w:szCs w:val="28"/>
          <w:lang w:val="sk-SK"/>
        </w:rPr>
        <w:t>Ď</w:t>
      </w:r>
      <w:r w:rsidRPr="00F0732E">
        <w:rPr>
          <w:rFonts w:ascii="Cambria" w:hAnsi="Cambria" w:cs="Times New Roman"/>
          <w:color w:val="auto"/>
          <w:sz w:val="28"/>
          <w:szCs w:val="28"/>
          <w:lang w:val="sk-SK"/>
        </w:rPr>
        <w:t xml:space="preserve">alším zdrojom, z ktorého boli pokryté mzdy zamestnancov, boli vlastné výnosy </w:t>
      </w:r>
      <w:r w:rsidRPr="00F0732E">
        <w:rPr>
          <w:rFonts w:ascii="Cambria" w:hAnsi="Cambria" w:cs="Times New Roman"/>
          <w:color w:val="auto"/>
          <w:sz w:val="28"/>
          <w:szCs w:val="28"/>
          <w:lang w:val="sk-SK"/>
        </w:rPr>
        <w:lastRenderedPageBreak/>
        <w:t>univerzity v hlavnej a v podnikate</w:t>
      </w:r>
      <w:r w:rsidRPr="00F0732E">
        <w:rPr>
          <w:rFonts w:ascii="Cambria" w:eastAsia="TimesNewRoman" w:hAnsi="Cambria" w:cs="Times New Roman"/>
          <w:color w:val="auto"/>
          <w:sz w:val="28"/>
          <w:szCs w:val="28"/>
          <w:lang w:val="sk-SK"/>
        </w:rPr>
        <w:t>ľ</w:t>
      </w:r>
      <w:r w:rsidRPr="00F0732E">
        <w:rPr>
          <w:rFonts w:ascii="Cambria" w:hAnsi="Cambria" w:cs="Times New Roman"/>
          <w:color w:val="auto"/>
          <w:sz w:val="28"/>
          <w:szCs w:val="28"/>
          <w:lang w:val="sk-SK"/>
        </w:rPr>
        <w:t xml:space="preserve">skej </w:t>
      </w:r>
      <w:r w:rsidRPr="00F0732E">
        <w:rPr>
          <w:rFonts w:ascii="Cambria" w:eastAsia="TimesNewRoman" w:hAnsi="Cambria" w:cs="Times New Roman"/>
          <w:color w:val="auto"/>
          <w:sz w:val="28"/>
          <w:szCs w:val="28"/>
          <w:lang w:val="sk-SK"/>
        </w:rPr>
        <w:t>č</w:t>
      </w:r>
      <w:r w:rsidRPr="00F0732E">
        <w:rPr>
          <w:rFonts w:ascii="Cambria" w:hAnsi="Cambria" w:cs="Times New Roman"/>
          <w:color w:val="auto"/>
          <w:sz w:val="28"/>
          <w:szCs w:val="28"/>
          <w:lang w:val="sk-SK"/>
        </w:rPr>
        <w:t>innosti.</w:t>
      </w:r>
    </w:p>
    <w:p w:rsidR="00B51749" w:rsidRPr="00F0732E" w:rsidRDefault="00B51749" w:rsidP="00B51749">
      <w:pPr>
        <w:autoSpaceDE w:val="0"/>
        <w:autoSpaceDN w:val="0"/>
        <w:adjustRightInd w:val="0"/>
        <w:rPr>
          <w:sz w:val="28"/>
          <w:szCs w:val="28"/>
        </w:rPr>
      </w:pPr>
    </w:p>
    <w:p w:rsidR="00B51749" w:rsidRPr="00F0732E" w:rsidRDefault="00B51749" w:rsidP="00B51749">
      <w:pPr>
        <w:autoSpaceDE w:val="0"/>
        <w:autoSpaceDN w:val="0"/>
        <w:adjustRightInd w:val="0"/>
        <w:rPr>
          <w:sz w:val="28"/>
          <w:szCs w:val="28"/>
        </w:rPr>
      </w:pPr>
      <w:r w:rsidRPr="00F0732E">
        <w:rPr>
          <w:sz w:val="28"/>
          <w:szCs w:val="28"/>
        </w:rPr>
        <w:t xml:space="preserve">Rozvoj a </w:t>
      </w:r>
      <w:r w:rsidRPr="00F0732E">
        <w:rPr>
          <w:rFonts w:eastAsia="TimesNewRoman"/>
          <w:sz w:val="28"/>
          <w:szCs w:val="28"/>
        </w:rPr>
        <w:t>ď</w:t>
      </w:r>
      <w:r w:rsidRPr="00F0732E">
        <w:rPr>
          <w:sz w:val="28"/>
          <w:szCs w:val="28"/>
        </w:rPr>
        <w:t xml:space="preserve">alšie vzdelávanie zamestnancov sa realizovalo prostredníctvom kurzov, školení, odborných seminárov a konferencií, organizovaných externými subjektmi či samotnou univerzitou. Všetky vekové kategórie zamestnancov sa zapájali do mobility. Bližšie informácie poskytuje </w:t>
      </w:r>
      <w:r w:rsidR="003D2012">
        <w:rPr>
          <w:sz w:val="28"/>
          <w:szCs w:val="28"/>
        </w:rPr>
        <w:t>T</w:t>
      </w:r>
      <w:r w:rsidRPr="00F0732E">
        <w:rPr>
          <w:sz w:val="28"/>
          <w:szCs w:val="28"/>
        </w:rPr>
        <w:t>abuľka č. 11 prílohy výročnej správy.</w:t>
      </w:r>
    </w:p>
    <w:p w:rsidR="00B51749" w:rsidRPr="00F0732E" w:rsidRDefault="00B51749" w:rsidP="00B51749">
      <w:pPr>
        <w:autoSpaceDE w:val="0"/>
        <w:autoSpaceDN w:val="0"/>
        <w:adjustRightInd w:val="0"/>
        <w:rPr>
          <w:sz w:val="28"/>
          <w:szCs w:val="28"/>
          <w:lang w:eastAsia="sk-SK"/>
        </w:rPr>
      </w:pPr>
    </w:p>
    <w:p w:rsidR="00B51749" w:rsidRPr="00F0732E" w:rsidRDefault="00B51749" w:rsidP="00B51749">
      <w:pPr>
        <w:autoSpaceDE w:val="0"/>
        <w:autoSpaceDN w:val="0"/>
        <w:adjustRightInd w:val="0"/>
        <w:rPr>
          <w:sz w:val="28"/>
          <w:szCs w:val="28"/>
        </w:rPr>
      </w:pPr>
      <w:r w:rsidRPr="00F0732E">
        <w:rPr>
          <w:sz w:val="28"/>
          <w:szCs w:val="28"/>
        </w:rPr>
        <w:t xml:space="preserve">Kvalifikačná štruktúra vysokoškolských učiteľov je sledovaná a uvedená </w:t>
      </w:r>
      <w:r w:rsidRPr="00F0732E">
        <w:rPr>
          <w:b/>
          <w:sz w:val="28"/>
          <w:szCs w:val="28"/>
        </w:rPr>
        <w:t>ku dňu 31. 10.</w:t>
      </w:r>
      <w:r w:rsidRPr="00F0732E">
        <w:rPr>
          <w:sz w:val="28"/>
          <w:szCs w:val="28"/>
        </w:rPr>
        <w:t xml:space="preserve"> príslušného roku. </w:t>
      </w:r>
      <w:r w:rsidR="009E604E" w:rsidRPr="00440AB3">
        <w:rPr>
          <w:sz w:val="28"/>
          <w:szCs w:val="28"/>
        </w:rPr>
        <w:t>Prepočítaný evidenčný počet učiteľov v roku 2014 na Slovenskej technickej univerzite v Bratislave dosiahol hodnotu 1 067,9</w:t>
      </w:r>
      <w:r w:rsidR="009E604E">
        <w:rPr>
          <w:sz w:val="28"/>
          <w:szCs w:val="28"/>
        </w:rPr>
        <w:t xml:space="preserve"> a fyzický</w:t>
      </w:r>
      <w:r w:rsidR="009E604E" w:rsidRPr="00F0732E">
        <w:rPr>
          <w:sz w:val="28"/>
          <w:szCs w:val="28"/>
        </w:rPr>
        <w:t xml:space="preserve"> </w:t>
      </w:r>
      <w:r w:rsidRPr="00F0732E">
        <w:rPr>
          <w:sz w:val="28"/>
          <w:szCs w:val="28"/>
        </w:rPr>
        <w:t>stav</w:t>
      </w:r>
      <w:r w:rsidR="009E604E">
        <w:rPr>
          <w:sz w:val="28"/>
          <w:szCs w:val="28"/>
        </w:rPr>
        <w:t xml:space="preserve"> bol </w:t>
      </w:r>
      <w:r w:rsidRPr="00F0732E">
        <w:rPr>
          <w:sz w:val="28"/>
          <w:szCs w:val="28"/>
        </w:rPr>
        <w:t xml:space="preserve">1 097 učiteľov, pričom najväčší podiel na celkovom počte </w:t>
      </w:r>
      <w:r w:rsidR="00F14D0F">
        <w:rPr>
          <w:sz w:val="28"/>
          <w:szCs w:val="28"/>
        </w:rPr>
        <w:t>–</w:t>
      </w:r>
      <w:r w:rsidRPr="00F0732E">
        <w:rPr>
          <w:sz w:val="28"/>
          <w:szCs w:val="28"/>
        </w:rPr>
        <w:t xml:space="preserve"> 45 %, predstavujú učitelia s vedeckou hodnosťou PhD., CSc. Najväčší počet učiteľov s touto vedeckou hodnosťou, pôsobil na Mater</w:t>
      </w:r>
      <w:r w:rsidR="009E604E">
        <w:rPr>
          <w:sz w:val="28"/>
          <w:szCs w:val="28"/>
        </w:rPr>
        <w:t>i</w:t>
      </w:r>
      <w:r w:rsidRPr="00F0732E">
        <w:rPr>
          <w:sz w:val="28"/>
          <w:szCs w:val="28"/>
        </w:rPr>
        <w:t>álovo</w:t>
      </w:r>
      <w:r w:rsidR="009E604E">
        <w:rPr>
          <w:sz w:val="28"/>
          <w:szCs w:val="28"/>
        </w:rPr>
        <w:softHyphen/>
      </w:r>
      <w:r w:rsidRPr="00F0732E">
        <w:rPr>
          <w:sz w:val="28"/>
          <w:szCs w:val="28"/>
        </w:rPr>
        <w:t xml:space="preserve">technologickej fakulte STU so sídlom v Trnave. </w:t>
      </w:r>
    </w:p>
    <w:p w:rsidR="00B51749" w:rsidRPr="00F0732E" w:rsidRDefault="00B51749" w:rsidP="00B51749">
      <w:pPr>
        <w:autoSpaceDE w:val="0"/>
        <w:autoSpaceDN w:val="0"/>
        <w:adjustRightInd w:val="0"/>
        <w:rPr>
          <w:sz w:val="28"/>
          <w:szCs w:val="28"/>
        </w:rPr>
      </w:pPr>
      <w:r w:rsidRPr="00F0732E">
        <w:rPr>
          <w:sz w:val="28"/>
          <w:szCs w:val="28"/>
        </w:rPr>
        <w:t>Presný prehľad kvalifikačnej štruktúry učiteľov je v prílohe výročnej správy v </w:t>
      </w:r>
      <w:r w:rsidR="003D2012">
        <w:rPr>
          <w:sz w:val="28"/>
          <w:szCs w:val="28"/>
        </w:rPr>
        <w:t>T</w:t>
      </w:r>
      <w:r w:rsidRPr="00F0732E">
        <w:rPr>
          <w:sz w:val="28"/>
          <w:szCs w:val="28"/>
        </w:rPr>
        <w:t>abuľke č. 10.</w:t>
      </w:r>
    </w:p>
    <w:p w:rsidR="00B51749" w:rsidRPr="00F0732E" w:rsidRDefault="00B51749" w:rsidP="00B51749">
      <w:pPr>
        <w:autoSpaceDE w:val="0"/>
        <w:autoSpaceDN w:val="0"/>
        <w:adjustRightInd w:val="0"/>
        <w:rPr>
          <w:sz w:val="28"/>
          <w:szCs w:val="28"/>
        </w:rPr>
      </w:pPr>
    </w:p>
    <w:p w:rsidR="00B51749" w:rsidRPr="00F0732E" w:rsidRDefault="00B51749" w:rsidP="00B51749">
      <w:pPr>
        <w:rPr>
          <w:sz w:val="28"/>
          <w:szCs w:val="28"/>
        </w:rPr>
      </w:pPr>
      <w:r w:rsidRPr="00F0732E">
        <w:rPr>
          <w:b/>
          <w:sz w:val="28"/>
          <w:szCs w:val="28"/>
        </w:rPr>
        <w:t>Na STU platila kolektívna zmluva, do ktorej vedenie univerzity s cieľom podporiť a motivovať mladých pedagógov presadilo zamestnanecké benefity zamerané práve na zamestnancov do 35 rokov veku.</w:t>
      </w:r>
      <w:r w:rsidRPr="00F0732E">
        <w:rPr>
          <w:sz w:val="28"/>
          <w:szCs w:val="28"/>
        </w:rPr>
        <w:t xml:space="preserve"> </w:t>
      </w:r>
    </w:p>
    <w:p w:rsidR="009E604E" w:rsidRDefault="00B51749" w:rsidP="00B51749">
      <w:pPr>
        <w:rPr>
          <w:sz w:val="28"/>
          <w:szCs w:val="28"/>
        </w:rPr>
      </w:pPr>
      <w:r w:rsidRPr="00F0732E">
        <w:rPr>
          <w:sz w:val="28"/>
          <w:szCs w:val="28"/>
        </w:rPr>
        <w:t xml:space="preserve">Mladí zamestnanci do 35 rokov veku môžu získať príspevok pri narodení dieťaťa, príspevok pri uzavretí manželstva, príspevok pri kúpe bytu, alebo príspevok v prípade sociálnej núdze. Tieto príspevky sa vyplácajú zo sociálneho fondu. </w:t>
      </w:r>
    </w:p>
    <w:p w:rsidR="00B51749" w:rsidRPr="00F0732E" w:rsidRDefault="00B51749" w:rsidP="00B51749">
      <w:pPr>
        <w:rPr>
          <w:sz w:val="28"/>
          <w:szCs w:val="28"/>
        </w:rPr>
      </w:pPr>
      <w:r w:rsidRPr="00F0732E">
        <w:rPr>
          <w:sz w:val="28"/>
          <w:szCs w:val="28"/>
        </w:rPr>
        <w:t xml:space="preserve">STU podľa kolektívnej zmluvy poskytuje aj finančný príspevok pri životnom jubileu, konkrétne </w:t>
      </w:r>
      <w:r w:rsidR="00F14D0F">
        <w:rPr>
          <w:sz w:val="28"/>
          <w:szCs w:val="28"/>
        </w:rPr>
        <w:t>v</w:t>
      </w:r>
      <w:r w:rsidRPr="00F0732E">
        <w:rPr>
          <w:sz w:val="28"/>
          <w:szCs w:val="28"/>
        </w:rPr>
        <w:t xml:space="preserve"> 50. rok</w:t>
      </w:r>
      <w:r w:rsidR="00F14D0F">
        <w:rPr>
          <w:sz w:val="28"/>
          <w:szCs w:val="28"/>
        </w:rPr>
        <w:t>u</w:t>
      </w:r>
      <w:r w:rsidRPr="00F0732E">
        <w:rPr>
          <w:sz w:val="28"/>
          <w:szCs w:val="28"/>
        </w:rPr>
        <w:t xml:space="preserve"> veku, výška tohto príspevku závisí od počtu rokov strávených na Slovenskej technickej univerzite. Zamestnanci, ktorí sú rodičmi detí do 15 rokov majú nárok na jeden deň plateného voľna každé tri mesiace, pričom toto voľno si možno kumulovať a využiť ho počas školských prázdnin.</w:t>
      </w:r>
    </w:p>
    <w:p w:rsidR="00B51749" w:rsidRPr="00F0732E" w:rsidRDefault="00B51749" w:rsidP="00B51749">
      <w:pPr>
        <w:rPr>
          <w:b/>
          <w:bCs/>
          <w:color w:val="FF0000"/>
          <w:sz w:val="28"/>
          <w:szCs w:val="28"/>
        </w:rPr>
      </w:pPr>
    </w:p>
    <w:p w:rsidR="00B51749" w:rsidRPr="00F0732E" w:rsidRDefault="00B51749" w:rsidP="00B51749">
      <w:pPr>
        <w:rPr>
          <w:b/>
          <w:bCs/>
          <w:color w:val="FF0000"/>
          <w:sz w:val="28"/>
          <w:szCs w:val="28"/>
        </w:rPr>
      </w:pPr>
    </w:p>
    <w:p w:rsidR="00B51749" w:rsidRPr="00F0732E" w:rsidRDefault="00B51749" w:rsidP="00B51749">
      <w:pPr>
        <w:pStyle w:val="Nadpis1"/>
        <w:rPr>
          <w:rFonts w:ascii="Cambria" w:hAnsi="Cambria"/>
          <w:color w:val="auto"/>
          <w:sz w:val="28"/>
          <w:szCs w:val="28"/>
        </w:rPr>
      </w:pPr>
      <w:bookmarkStart w:id="48" w:name="_Toc413009350"/>
      <w:r w:rsidRPr="00F0732E">
        <w:rPr>
          <w:rFonts w:ascii="Cambria" w:hAnsi="Cambria"/>
          <w:color w:val="auto"/>
          <w:sz w:val="28"/>
          <w:szCs w:val="28"/>
        </w:rPr>
        <w:t>Podpora študentov</w:t>
      </w:r>
      <w:bookmarkEnd w:id="48"/>
    </w:p>
    <w:p w:rsidR="00B51749" w:rsidRPr="00F0732E" w:rsidRDefault="00B51749" w:rsidP="00B51749">
      <w:pPr>
        <w:pStyle w:val="Nadpis2"/>
        <w:rPr>
          <w:rFonts w:ascii="Cambria" w:hAnsi="Cambria"/>
          <w:color w:val="auto"/>
          <w:shd w:val="clear" w:color="auto" w:fill="FFFFFF"/>
        </w:rPr>
      </w:pPr>
      <w:bookmarkStart w:id="49" w:name="_Toc413009351"/>
      <w:r w:rsidRPr="00F0732E">
        <w:rPr>
          <w:rFonts w:ascii="Cambria" w:hAnsi="Cambria"/>
          <w:color w:val="auto"/>
          <w:shd w:val="clear" w:color="auto" w:fill="FFFFFF"/>
        </w:rPr>
        <w:lastRenderedPageBreak/>
        <w:t>Sociálne štipendiá</w:t>
      </w:r>
      <w:bookmarkEnd w:id="49"/>
    </w:p>
    <w:p w:rsidR="00B51749" w:rsidRPr="00F0732E" w:rsidRDefault="00B51749" w:rsidP="00B51749">
      <w:pPr>
        <w:rPr>
          <w:b/>
          <w:color w:val="FF0000"/>
          <w:sz w:val="28"/>
          <w:szCs w:val="28"/>
          <w:shd w:val="clear" w:color="auto" w:fill="FFFFFF"/>
        </w:rPr>
      </w:pPr>
    </w:p>
    <w:p w:rsidR="00B51749" w:rsidRPr="00F0732E" w:rsidRDefault="00B51749" w:rsidP="00B51749">
      <w:pPr>
        <w:rPr>
          <w:rFonts w:cs="Calibri"/>
          <w:sz w:val="28"/>
          <w:szCs w:val="28"/>
          <w:lang w:eastAsia="sk-SK"/>
        </w:rPr>
      </w:pPr>
      <w:r w:rsidRPr="00F0732E">
        <w:rPr>
          <w:rFonts w:cs="Calibri"/>
          <w:sz w:val="28"/>
          <w:szCs w:val="28"/>
          <w:lang w:eastAsia="sk-SK"/>
        </w:rPr>
        <w:t xml:space="preserve">Sociálne štipendium prispieva na úhradu nákladov spojených so štúdiom. Na základe splnenia ustanovených podmienok sa </w:t>
      </w:r>
      <w:r w:rsidRPr="00F0732E">
        <w:rPr>
          <w:rFonts w:cs="Calibri"/>
          <w:bCs/>
          <w:sz w:val="28"/>
          <w:szCs w:val="28"/>
          <w:lang w:eastAsia="sk-SK"/>
        </w:rPr>
        <w:t xml:space="preserve">priznáva študentom študijných programov </w:t>
      </w:r>
      <w:r w:rsidRPr="00F0732E">
        <w:rPr>
          <w:rFonts w:cs="Calibri"/>
          <w:sz w:val="28"/>
          <w:szCs w:val="28"/>
        </w:rPr>
        <w:t>dennej formy štúdia 1. a 2. stupňa vysokoškolského štúdia</w:t>
      </w:r>
      <w:r w:rsidRPr="00F0732E">
        <w:rPr>
          <w:rFonts w:cs="Calibri"/>
          <w:sz w:val="28"/>
          <w:szCs w:val="28"/>
          <w:lang w:eastAsia="sk-SK"/>
        </w:rPr>
        <w:t xml:space="preserve">, ktorí majú trvalý pobyt v SR a </w:t>
      </w:r>
      <w:r w:rsidRPr="00F0732E">
        <w:rPr>
          <w:rFonts w:cs="Calibri"/>
          <w:sz w:val="28"/>
          <w:szCs w:val="28"/>
        </w:rPr>
        <w:t xml:space="preserve">je upravené </w:t>
      </w:r>
      <w:r w:rsidRPr="00F0732E">
        <w:rPr>
          <w:sz w:val="28"/>
          <w:szCs w:val="28"/>
        </w:rPr>
        <w:t xml:space="preserve">Vyhláškou </w:t>
      </w:r>
      <w:r w:rsidRPr="00F0732E">
        <w:rPr>
          <w:rFonts w:cs="Calibri"/>
          <w:sz w:val="28"/>
          <w:szCs w:val="28"/>
        </w:rPr>
        <w:t>MŠVVaŠ SR 235/2013 Z.z., ktorou sa mení a dopĺňa vyhláška MŠ SR č. 102/2006 Z. z. o priznávaní sociálneho štipendia študentom vysokých škôl v znení vyhlášky č. 396/2008 a vyhlášky č. 227/2012</w:t>
      </w:r>
      <w:r w:rsidR="00F14D0F">
        <w:rPr>
          <w:rFonts w:cs="Calibri"/>
          <w:sz w:val="28"/>
          <w:szCs w:val="28"/>
        </w:rPr>
        <w:t>,</w:t>
      </w:r>
      <w:r w:rsidRPr="00F0732E">
        <w:rPr>
          <w:rFonts w:cs="Calibri"/>
          <w:sz w:val="28"/>
          <w:szCs w:val="28"/>
        </w:rPr>
        <w:t xml:space="preserve"> ktorá nadobudla účinnosť 1. 9. 2013. Administrovanie agendy, týkajúcej sa priznávania a poskytovania sociálnych štipendií sa uskutočňuje prostredníctvom študijných oddelení jednotlivých súčastí univerzity. </w:t>
      </w:r>
    </w:p>
    <w:p w:rsidR="00B51749" w:rsidRPr="00F0732E" w:rsidRDefault="00B51749" w:rsidP="00B51749">
      <w:pPr>
        <w:ind w:right="284"/>
        <w:rPr>
          <w:rFonts w:cs="Calibri"/>
          <w:sz w:val="28"/>
          <w:szCs w:val="28"/>
        </w:rPr>
      </w:pPr>
      <w:r w:rsidRPr="00F0732E">
        <w:rPr>
          <w:rFonts w:cs="Calibri"/>
          <w:sz w:val="28"/>
          <w:szCs w:val="28"/>
        </w:rPr>
        <w:t xml:space="preserve">Tabuľka 8.1 udáva počet študentov poberajúcich sociálne štipendium za posledných päť rokov. </w:t>
      </w:r>
    </w:p>
    <w:p w:rsidR="00B51749" w:rsidRPr="00F0732E" w:rsidRDefault="00B51749" w:rsidP="00B51749">
      <w:pPr>
        <w:ind w:right="284"/>
        <w:rPr>
          <w:rFonts w:cs="Calibri"/>
          <w:sz w:val="28"/>
          <w:szCs w:val="28"/>
        </w:rPr>
      </w:pPr>
    </w:p>
    <w:p w:rsidR="00B51749" w:rsidRPr="00F0732E" w:rsidRDefault="00B51749" w:rsidP="00B51749">
      <w:pPr>
        <w:ind w:left="708" w:hanging="708"/>
        <w:rPr>
          <w:rFonts w:cs="Calibri"/>
          <w:b/>
          <w:sz w:val="28"/>
          <w:szCs w:val="28"/>
          <w:shd w:val="clear" w:color="auto" w:fill="FFFFFF"/>
        </w:rPr>
      </w:pPr>
      <w:r w:rsidRPr="00F0732E">
        <w:rPr>
          <w:rFonts w:cs="Calibri"/>
          <w:b/>
          <w:sz w:val="28"/>
          <w:szCs w:val="28"/>
          <w:shd w:val="clear" w:color="auto" w:fill="FFFFFF"/>
        </w:rPr>
        <w:t xml:space="preserve">Tabuľka 8.1: Počet študentov poberajúci sociálne štipendiá za posledných päť rokov </w:t>
      </w:r>
    </w:p>
    <w:tbl>
      <w:tblPr>
        <w:tblW w:w="9177" w:type="dxa"/>
        <w:tblInd w:w="75" w:type="dxa"/>
        <w:tblCellMar>
          <w:left w:w="70" w:type="dxa"/>
          <w:right w:w="70" w:type="dxa"/>
        </w:tblCellMar>
        <w:tblLook w:val="04A0" w:firstRow="1" w:lastRow="0" w:firstColumn="1" w:lastColumn="0" w:noHBand="0" w:noVBand="1"/>
      </w:tblPr>
      <w:tblGrid>
        <w:gridCol w:w="1609"/>
        <w:gridCol w:w="820"/>
        <w:gridCol w:w="820"/>
        <w:gridCol w:w="820"/>
        <w:gridCol w:w="1008"/>
        <w:gridCol w:w="820"/>
        <w:gridCol w:w="820"/>
        <w:gridCol w:w="820"/>
        <w:gridCol w:w="680"/>
        <w:gridCol w:w="960"/>
      </w:tblGrid>
      <w:tr w:rsidR="00B51749" w:rsidRPr="00F0732E" w:rsidTr="00447572">
        <w:trPr>
          <w:trHeight w:val="255"/>
        </w:trPr>
        <w:tc>
          <w:tcPr>
            <w:tcW w:w="1609" w:type="dxa"/>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 </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SvF</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SjF</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FEI</w:t>
            </w:r>
          </w:p>
        </w:tc>
        <w:tc>
          <w:tcPr>
            <w:tcW w:w="1008"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FCHPT</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FA</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MTF</w:t>
            </w:r>
          </w:p>
        </w:tc>
        <w:tc>
          <w:tcPr>
            <w:tcW w:w="82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FIIT</w:t>
            </w:r>
          </w:p>
        </w:tc>
        <w:tc>
          <w:tcPr>
            <w:tcW w:w="68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ÚM</w:t>
            </w:r>
          </w:p>
        </w:tc>
        <w:tc>
          <w:tcPr>
            <w:tcW w:w="960" w:type="dxa"/>
            <w:tcBorders>
              <w:top w:val="single" w:sz="4" w:space="0" w:color="auto"/>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STU</w:t>
            </w:r>
          </w:p>
        </w:tc>
      </w:tr>
      <w:tr w:rsidR="00B51749" w:rsidRPr="00F0732E" w:rsidTr="00447572">
        <w:trPr>
          <w:trHeight w:val="255"/>
        </w:trPr>
        <w:tc>
          <w:tcPr>
            <w:tcW w:w="1609" w:type="dxa"/>
            <w:tcBorders>
              <w:top w:val="nil"/>
              <w:left w:val="single" w:sz="4" w:space="0" w:color="auto"/>
              <w:bottom w:val="single" w:sz="4" w:space="0" w:color="auto"/>
              <w:right w:val="single" w:sz="4" w:space="0" w:color="auto"/>
            </w:tcBorders>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2009/2010</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348</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92</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181</w:t>
            </w:r>
          </w:p>
        </w:tc>
        <w:tc>
          <w:tcPr>
            <w:tcW w:w="1008"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177</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112</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243</w:t>
            </w:r>
          </w:p>
        </w:tc>
        <w:tc>
          <w:tcPr>
            <w:tcW w:w="82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64</w:t>
            </w:r>
          </w:p>
        </w:tc>
        <w:tc>
          <w:tcPr>
            <w:tcW w:w="68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w:t>
            </w:r>
          </w:p>
        </w:tc>
        <w:tc>
          <w:tcPr>
            <w:tcW w:w="960" w:type="dxa"/>
            <w:tcBorders>
              <w:top w:val="nil"/>
              <w:left w:val="nil"/>
              <w:bottom w:val="single" w:sz="4" w:space="0" w:color="auto"/>
              <w:right w:val="single" w:sz="4" w:space="0" w:color="auto"/>
            </w:tcBorders>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1 231</w:t>
            </w:r>
          </w:p>
        </w:tc>
      </w:tr>
      <w:tr w:rsidR="00B51749" w:rsidRPr="00F0732E" w:rsidTr="00447572">
        <w:trPr>
          <w:trHeight w:val="255"/>
        </w:trPr>
        <w:tc>
          <w:tcPr>
            <w:tcW w:w="1609"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2010/2011</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354</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106</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189</w:t>
            </w:r>
          </w:p>
        </w:tc>
        <w:tc>
          <w:tcPr>
            <w:tcW w:w="100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203</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114</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202</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80</w:t>
            </w:r>
          </w:p>
        </w:tc>
        <w:tc>
          <w:tcPr>
            <w:tcW w:w="68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w:t>
            </w:r>
          </w:p>
        </w:tc>
        <w:tc>
          <w:tcPr>
            <w:tcW w:w="96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1 262</w:t>
            </w:r>
          </w:p>
        </w:tc>
      </w:tr>
      <w:tr w:rsidR="00B51749" w:rsidRPr="00F0732E" w:rsidTr="00447572">
        <w:trPr>
          <w:trHeight w:val="255"/>
        </w:trPr>
        <w:tc>
          <w:tcPr>
            <w:tcW w:w="1609"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2011/2012</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403</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109</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190</w:t>
            </w:r>
          </w:p>
        </w:tc>
        <w:tc>
          <w:tcPr>
            <w:tcW w:w="100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216</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111</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169</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99</w:t>
            </w:r>
          </w:p>
        </w:tc>
        <w:tc>
          <w:tcPr>
            <w:tcW w:w="68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15</w:t>
            </w:r>
          </w:p>
        </w:tc>
        <w:tc>
          <w:tcPr>
            <w:tcW w:w="96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1 312</w:t>
            </w:r>
          </w:p>
        </w:tc>
      </w:tr>
      <w:tr w:rsidR="00B51749" w:rsidRPr="00F0732E" w:rsidTr="00447572">
        <w:trPr>
          <w:trHeight w:val="255"/>
        </w:trPr>
        <w:tc>
          <w:tcPr>
            <w:tcW w:w="1609"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2012/2013</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409</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90</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185</w:t>
            </w:r>
          </w:p>
        </w:tc>
        <w:tc>
          <w:tcPr>
            <w:tcW w:w="100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241</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105</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144</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94</w:t>
            </w:r>
          </w:p>
        </w:tc>
        <w:tc>
          <w:tcPr>
            <w:tcW w:w="68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c>
          <w:tcPr>
            <w:tcW w:w="96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1 278</w:t>
            </w:r>
          </w:p>
        </w:tc>
      </w:tr>
      <w:tr w:rsidR="00B51749" w:rsidRPr="00F0732E" w:rsidTr="00447572">
        <w:trPr>
          <w:trHeight w:val="255"/>
        </w:trPr>
        <w:tc>
          <w:tcPr>
            <w:tcW w:w="1609"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2013/2014</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383</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90</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180</w:t>
            </w:r>
          </w:p>
        </w:tc>
        <w:tc>
          <w:tcPr>
            <w:tcW w:w="1008"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229</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100</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148</w:t>
            </w:r>
          </w:p>
        </w:tc>
        <w:tc>
          <w:tcPr>
            <w:tcW w:w="82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96</w:t>
            </w:r>
          </w:p>
        </w:tc>
        <w:tc>
          <w:tcPr>
            <w:tcW w:w="68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w:t>
            </w:r>
          </w:p>
        </w:tc>
        <w:tc>
          <w:tcPr>
            <w:tcW w:w="960"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1 236</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Štatistika Škol MŠVVaŠ SR 11-01 k 31.</w:t>
      </w:r>
      <w:r w:rsidR="008327C2">
        <w:rPr>
          <w:rFonts w:eastAsia="Times New Roman" w:cs="Arial"/>
          <w:sz w:val="28"/>
          <w:szCs w:val="28"/>
          <w:lang w:eastAsia="sk-SK"/>
        </w:rPr>
        <w:t xml:space="preserve"> </w:t>
      </w:r>
      <w:r w:rsidRPr="00F0732E">
        <w:rPr>
          <w:rFonts w:eastAsia="Times New Roman" w:cs="Arial"/>
          <w:sz w:val="28"/>
          <w:szCs w:val="28"/>
          <w:lang w:eastAsia="sk-SK"/>
        </w:rPr>
        <w:t>10.</w:t>
      </w:r>
      <w:r w:rsidR="008327C2">
        <w:rPr>
          <w:rFonts w:eastAsia="Times New Roman" w:cs="Arial"/>
          <w:sz w:val="28"/>
          <w:szCs w:val="28"/>
          <w:lang w:eastAsia="sk-SK"/>
        </w:rPr>
        <w:t xml:space="preserve"> </w:t>
      </w:r>
      <w:r w:rsidRPr="00F0732E">
        <w:rPr>
          <w:rFonts w:eastAsia="Times New Roman" w:cs="Arial"/>
          <w:sz w:val="28"/>
          <w:szCs w:val="28"/>
          <w:lang w:eastAsia="sk-SK"/>
        </w:rPr>
        <w:t>2013</w:t>
      </w:r>
    </w:p>
    <w:p w:rsidR="00B51749" w:rsidRPr="00F0732E" w:rsidRDefault="00B51749" w:rsidP="00B51749">
      <w:pPr>
        <w:rPr>
          <w:rFonts w:eastAsia="Calibri" w:cs="Calibri"/>
          <w:b/>
          <w:sz w:val="28"/>
          <w:szCs w:val="28"/>
          <w:shd w:val="clear" w:color="auto" w:fill="FFFFFF"/>
        </w:rPr>
      </w:pPr>
    </w:p>
    <w:p w:rsidR="00B51749" w:rsidRPr="00F0732E" w:rsidRDefault="00B51749" w:rsidP="00B51749">
      <w:pPr>
        <w:rPr>
          <w:b/>
          <w:color w:val="FF0000"/>
          <w:sz w:val="28"/>
          <w:szCs w:val="28"/>
          <w:shd w:val="clear" w:color="auto" w:fill="FFFFFF"/>
        </w:rPr>
      </w:pPr>
    </w:p>
    <w:p w:rsidR="00B51749" w:rsidRPr="00F0732E" w:rsidRDefault="00B51749" w:rsidP="00B51749">
      <w:pPr>
        <w:pStyle w:val="Nadpis2"/>
        <w:rPr>
          <w:rFonts w:ascii="Cambria" w:hAnsi="Cambria"/>
          <w:color w:val="auto"/>
          <w:shd w:val="clear" w:color="auto" w:fill="FFFFFF"/>
        </w:rPr>
      </w:pPr>
      <w:bookmarkStart w:id="50" w:name="_Toc413009352"/>
      <w:r w:rsidRPr="00F0732E">
        <w:rPr>
          <w:rFonts w:ascii="Cambria" w:hAnsi="Cambria"/>
          <w:color w:val="auto"/>
          <w:shd w:val="clear" w:color="auto" w:fill="FFFFFF"/>
        </w:rPr>
        <w:t>Motivačné štipendiá</w:t>
      </w:r>
      <w:bookmarkEnd w:id="50"/>
    </w:p>
    <w:p w:rsidR="00B51749" w:rsidRPr="00F0732E" w:rsidRDefault="00B51749" w:rsidP="00B51749">
      <w:pPr>
        <w:ind w:right="284"/>
        <w:rPr>
          <w:rFonts w:cs="Calibri"/>
          <w:sz w:val="28"/>
          <w:szCs w:val="28"/>
        </w:rPr>
      </w:pPr>
      <w:r w:rsidRPr="00F0732E">
        <w:rPr>
          <w:rFonts w:cs="Calibri"/>
          <w:sz w:val="28"/>
          <w:szCs w:val="28"/>
        </w:rPr>
        <w:t>Ocenenie aktivít študentov za vynikajúce plnenie študijných povinností, ako aj vynikajúce výsledky dosiahnuté oblasti štúdia, výskumu, vývoja</w:t>
      </w:r>
      <w:r w:rsidR="008327C2">
        <w:rPr>
          <w:rFonts w:cs="Calibri"/>
          <w:sz w:val="28"/>
          <w:szCs w:val="28"/>
        </w:rPr>
        <w:t>,</w:t>
      </w:r>
      <w:r w:rsidRPr="00F0732E">
        <w:rPr>
          <w:rFonts w:cs="Calibri"/>
          <w:sz w:val="28"/>
          <w:szCs w:val="28"/>
        </w:rPr>
        <w:t xml:space="preserve"> umeleckej alebo športovej činnosti sa realizovalo prostredníctvom motivačných štipendií z prostriedkov štátneho rozpočtu. Kategória motivačných štipendií sa podľa zákona delí na motivačné štipendiá v študijných odboroch určovaných v metodike (ďalej len „motivačné štipendiá odborové“) a motivačné štipendiá za vynikajúce plnenie študijných povinností, dosiahnutie vynikajúceho výsledku v oblasti štúdia, výskumu, vývoja, umeleckej alebo športovej činnosti. </w:t>
      </w:r>
    </w:p>
    <w:p w:rsidR="00B51749" w:rsidRPr="00F0732E" w:rsidRDefault="00B51749" w:rsidP="00B51749">
      <w:pPr>
        <w:ind w:right="284"/>
        <w:rPr>
          <w:rFonts w:cs="Arial"/>
          <w:sz w:val="28"/>
          <w:szCs w:val="28"/>
        </w:rPr>
      </w:pPr>
      <w:r w:rsidRPr="00F0732E">
        <w:rPr>
          <w:rFonts w:cs="Calibri"/>
          <w:sz w:val="28"/>
          <w:szCs w:val="28"/>
        </w:rPr>
        <w:lastRenderedPageBreak/>
        <w:t>V akad. roku 2013/2014 boli prvýkrát prizn</w:t>
      </w:r>
      <w:r w:rsidR="002034CB">
        <w:rPr>
          <w:rFonts w:cs="Calibri"/>
          <w:sz w:val="28"/>
          <w:szCs w:val="28"/>
        </w:rPr>
        <w:t>a</w:t>
      </w:r>
      <w:r w:rsidRPr="00F0732E">
        <w:rPr>
          <w:rFonts w:cs="Calibri"/>
          <w:sz w:val="28"/>
          <w:szCs w:val="28"/>
        </w:rPr>
        <w:t xml:space="preserve">né </w:t>
      </w:r>
      <w:r w:rsidRPr="00F0732E">
        <w:rPr>
          <w:rFonts w:cs="Calibri"/>
          <w:b/>
          <w:i/>
          <w:sz w:val="28"/>
          <w:szCs w:val="28"/>
        </w:rPr>
        <w:t>motivačné štipendiá odborové</w:t>
      </w:r>
      <w:r w:rsidRPr="00F0732E">
        <w:rPr>
          <w:rFonts w:cs="Calibri"/>
          <w:sz w:val="28"/>
          <w:szCs w:val="28"/>
        </w:rPr>
        <w:t xml:space="preserve"> študentom študujúcim študijné odbory určené v metodike rozpisu dotácie </w:t>
      </w:r>
      <w:r w:rsidRPr="00F0732E">
        <w:rPr>
          <w:rFonts w:cs="Arial"/>
          <w:sz w:val="28"/>
          <w:szCs w:val="28"/>
        </w:rPr>
        <w:t>zo štátneho rozpočtu so zohľadnením študijných výsledkov z predchádzajúceho štúdia,</w:t>
      </w:r>
      <w:r w:rsidRPr="00F0732E">
        <w:rPr>
          <w:sz w:val="28"/>
          <w:szCs w:val="28"/>
        </w:rPr>
        <w:t xml:space="preserve"> v prípade</w:t>
      </w:r>
      <w:r w:rsidRPr="00F0732E">
        <w:rPr>
          <w:rFonts w:cs="Arial"/>
          <w:sz w:val="28"/>
          <w:szCs w:val="28"/>
        </w:rPr>
        <w:t xml:space="preserve"> študentov študijných programov prvého stupňa v prvom roku štúdia sa zohľadnili študijné výsledky z posledného roku štúdia na strednej škole.</w:t>
      </w:r>
    </w:p>
    <w:p w:rsidR="00B51749" w:rsidRPr="00F0732E" w:rsidRDefault="00B51749" w:rsidP="00B51749">
      <w:pPr>
        <w:ind w:right="284"/>
        <w:rPr>
          <w:rFonts w:cs="Arial"/>
          <w:sz w:val="28"/>
          <w:szCs w:val="28"/>
        </w:rPr>
      </w:pPr>
      <w:r w:rsidRPr="00F0732E">
        <w:rPr>
          <w:rFonts w:cs="Arial"/>
          <w:sz w:val="28"/>
          <w:szCs w:val="28"/>
        </w:rPr>
        <w:t>Prehľad priznaných motivačných štipendií odborových na jednotlivých súčastiach STU je uvedený v </w:t>
      </w:r>
      <w:r w:rsidR="003D2012">
        <w:rPr>
          <w:rFonts w:cs="Arial"/>
          <w:sz w:val="28"/>
          <w:szCs w:val="28"/>
        </w:rPr>
        <w:t>T</w:t>
      </w:r>
      <w:r w:rsidRPr="00F0732E">
        <w:rPr>
          <w:rFonts w:cs="Arial"/>
          <w:sz w:val="28"/>
          <w:szCs w:val="28"/>
        </w:rPr>
        <w:t>abuľke 8.2.</w:t>
      </w:r>
    </w:p>
    <w:p w:rsidR="00B51749" w:rsidRPr="00F0732E" w:rsidRDefault="00B51749" w:rsidP="00B51749">
      <w:pPr>
        <w:ind w:right="284"/>
        <w:rPr>
          <w:rFonts w:cs="Arial"/>
          <w:sz w:val="28"/>
          <w:szCs w:val="28"/>
        </w:rPr>
      </w:pPr>
    </w:p>
    <w:p w:rsidR="00B51749" w:rsidRPr="00F0732E" w:rsidRDefault="00B51749" w:rsidP="00B51749">
      <w:pPr>
        <w:ind w:right="284"/>
        <w:rPr>
          <w:rFonts w:cs="Calibri"/>
          <w:b/>
          <w:sz w:val="28"/>
          <w:szCs w:val="28"/>
        </w:rPr>
      </w:pPr>
      <w:r w:rsidRPr="00F0732E">
        <w:rPr>
          <w:rFonts w:cs="Calibri"/>
          <w:b/>
          <w:sz w:val="28"/>
          <w:szCs w:val="28"/>
        </w:rPr>
        <w:t>Tabuľka 8.2: Motivačné štipendiá odborové poskytnuté študentom študujúcim v akad. roku 2013/2014</w:t>
      </w:r>
    </w:p>
    <w:tbl>
      <w:tblPr>
        <w:tblW w:w="4977" w:type="dxa"/>
        <w:tblInd w:w="55" w:type="dxa"/>
        <w:tblCellMar>
          <w:left w:w="70" w:type="dxa"/>
          <w:right w:w="70" w:type="dxa"/>
        </w:tblCellMar>
        <w:tblLook w:val="04A0" w:firstRow="1" w:lastRow="0" w:firstColumn="1" w:lastColumn="0" w:noHBand="0" w:noVBand="1"/>
      </w:tblPr>
      <w:tblGrid>
        <w:gridCol w:w="1116"/>
        <w:gridCol w:w="1800"/>
        <w:gridCol w:w="2217"/>
      </w:tblGrid>
      <w:tr w:rsidR="00B51749" w:rsidRPr="00F0732E" w:rsidTr="00447572">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 xml:space="preserve">Fakulta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Počet študentov</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Celková suma vyplatených štipendií v €</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316</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112 200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604</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173 217</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835</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311 991</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814</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271 198</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943</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313 860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607</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162 701</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800"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4 119</w:t>
            </w:r>
          </w:p>
        </w:tc>
        <w:tc>
          <w:tcPr>
            <w:tcW w:w="2217"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1 345 167</w:t>
            </w:r>
          </w:p>
        </w:tc>
      </w:tr>
    </w:tbl>
    <w:p w:rsidR="00B51749" w:rsidRPr="00F0732E" w:rsidRDefault="00B51749" w:rsidP="00B51749">
      <w:pPr>
        <w:ind w:right="284"/>
        <w:rPr>
          <w:rFonts w:cs="Calibri"/>
          <w:b/>
          <w:i/>
          <w:sz w:val="28"/>
          <w:szCs w:val="28"/>
        </w:rPr>
      </w:pPr>
    </w:p>
    <w:p w:rsidR="00B51749" w:rsidRPr="00F0732E" w:rsidRDefault="00B51749" w:rsidP="00B51749">
      <w:pPr>
        <w:ind w:right="284"/>
        <w:rPr>
          <w:rFonts w:cs="Calibri"/>
          <w:sz w:val="28"/>
          <w:szCs w:val="28"/>
        </w:rPr>
      </w:pPr>
      <w:r w:rsidRPr="00F0732E">
        <w:rPr>
          <w:rFonts w:cs="Calibri"/>
          <w:b/>
          <w:i/>
          <w:sz w:val="28"/>
          <w:szCs w:val="28"/>
        </w:rPr>
        <w:t>Motivačné štipendiá za vynikajúce študijné výsledky (prospechové štipendium)</w:t>
      </w:r>
      <w:r w:rsidRPr="00F0732E">
        <w:rPr>
          <w:rFonts w:cs="Calibri"/>
          <w:sz w:val="28"/>
          <w:szCs w:val="28"/>
        </w:rPr>
        <w:t xml:space="preserve"> boli vyplatené študentom druhého, prípadne vyššieho ročníka štúdia za študijné výsledky dosiahnuté na univerzite v predchádzajúcom akademickom roku. Na fakultách sa uplatňovali pravidlá priznávania a poskytovania motivačných štipendií, ktoré sú určené v Štipendijnom poriadku STU, ktoré mohli byť bližšie špecifikované fakultným vnútorným predpisom. </w:t>
      </w:r>
    </w:p>
    <w:p w:rsidR="00B51749" w:rsidRDefault="00B51749" w:rsidP="00B51749">
      <w:pPr>
        <w:ind w:right="284"/>
        <w:rPr>
          <w:rFonts w:cs="Calibri"/>
          <w:sz w:val="28"/>
          <w:szCs w:val="28"/>
        </w:rPr>
      </w:pPr>
    </w:p>
    <w:p w:rsidR="009E604E" w:rsidRDefault="009E604E" w:rsidP="00B51749">
      <w:pPr>
        <w:ind w:right="284"/>
        <w:rPr>
          <w:rFonts w:cs="Calibri"/>
          <w:sz w:val="28"/>
          <w:szCs w:val="28"/>
        </w:rPr>
      </w:pPr>
    </w:p>
    <w:p w:rsidR="00440AB3" w:rsidRDefault="00440AB3" w:rsidP="00B51749">
      <w:pPr>
        <w:ind w:right="284"/>
        <w:rPr>
          <w:rFonts w:cs="Calibri"/>
          <w:sz w:val="28"/>
          <w:szCs w:val="28"/>
        </w:rPr>
      </w:pPr>
    </w:p>
    <w:p w:rsidR="00440AB3" w:rsidRDefault="00440AB3" w:rsidP="00B51749">
      <w:pPr>
        <w:ind w:right="284"/>
        <w:rPr>
          <w:rFonts w:cs="Calibri"/>
          <w:sz w:val="28"/>
          <w:szCs w:val="28"/>
        </w:rPr>
      </w:pPr>
    </w:p>
    <w:p w:rsidR="00B51749" w:rsidRPr="00F0732E" w:rsidRDefault="00B51749" w:rsidP="00B51749">
      <w:pPr>
        <w:ind w:right="284"/>
        <w:rPr>
          <w:rFonts w:cs="Calibri"/>
          <w:b/>
          <w:sz w:val="28"/>
          <w:szCs w:val="28"/>
        </w:rPr>
      </w:pPr>
      <w:r w:rsidRPr="00F0732E">
        <w:rPr>
          <w:rFonts w:cs="Calibri"/>
          <w:b/>
          <w:sz w:val="28"/>
          <w:szCs w:val="28"/>
        </w:rPr>
        <w:t>Tabuľka 8.3: Motivačné štipendiá za vynikajúce plnenie študijných povinností (prospechové štipendium) poskytnuté študentom v akad. roku 2013/2014</w:t>
      </w:r>
    </w:p>
    <w:tbl>
      <w:tblPr>
        <w:tblW w:w="4977" w:type="dxa"/>
        <w:tblInd w:w="55" w:type="dxa"/>
        <w:tblCellMar>
          <w:left w:w="70" w:type="dxa"/>
          <w:right w:w="70" w:type="dxa"/>
        </w:tblCellMar>
        <w:tblLook w:val="04A0" w:firstRow="1" w:lastRow="0" w:firstColumn="1" w:lastColumn="0" w:noHBand="0" w:noVBand="1"/>
      </w:tblPr>
      <w:tblGrid>
        <w:gridCol w:w="1116"/>
        <w:gridCol w:w="1800"/>
        <w:gridCol w:w="2217"/>
      </w:tblGrid>
      <w:tr w:rsidR="00B51749" w:rsidRPr="00F0732E" w:rsidTr="00447572">
        <w:trPr>
          <w:trHeight w:val="6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lastRenderedPageBreak/>
              <w:t xml:space="preserve">Fakulta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Počet študentov</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Celková suma vyplatených štipendií v €</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187</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120 650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102</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40 468</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112</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105 878</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127</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80 850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91</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51 867</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272</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122 400</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59</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50 908</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80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w:t>
            </w:r>
          </w:p>
        </w:tc>
        <w:tc>
          <w:tcPr>
            <w:tcW w:w="2217"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4 764</w:t>
            </w:r>
          </w:p>
        </w:tc>
      </w:tr>
      <w:tr w:rsidR="00B51749" w:rsidRPr="00F0732E" w:rsidTr="00447572">
        <w:trPr>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800"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956</w:t>
            </w:r>
          </w:p>
        </w:tc>
        <w:tc>
          <w:tcPr>
            <w:tcW w:w="2217"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577 785</w:t>
            </w:r>
          </w:p>
        </w:tc>
      </w:tr>
    </w:tbl>
    <w:p w:rsidR="00B51749" w:rsidRPr="00F0732E" w:rsidRDefault="00B51749" w:rsidP="00B51749">
      <w:pPr>
        <w:ind w:right="284"/>
        <w:rPr>
          <w:rFonts w:eastAsia="Times New Roman" w:cs="Arial"/>
          <w:sz w:val="28"/>
          <w:szCs w:val="28"/>
          <w:lang w:eastAsia="sk-SK"/>
        </w:rPr>
      </w:pPr>
      <w:r w:rsidRPr="00F0732E">
        <w:rPr>
          <w:rFonts w:eastAsia="Times New Roman" w:cs="Arial"/>
          <w:sz w:val="28"/>
          <w:szCs w:val="28"/>
          <w:lang w:eastAsia="sk-SK"/>
        </w:rPr>
        <w:t>Vysvetlivky: Štatistika Škol MŠVVaŠ SR 11-01 k 31.</w:t>
      </w:r>
      <w:r w:rsidR="002034CB">
        <w:rPr>
          <w:rFonts w:eastAsia="Times New Roman" w:cs="Arial"/>
          <w:sz w:val="28"/>
          <w:szCs w:val="28"/>
          <w:lang w:eastAsia="sk-SK"/>
        </w:rPr>
        <w:t xml:space="preserve"> </w:t>
      </w:r>
      <w:r w:rsidRPr="00F0732E">
        <w:rPr>
          <w:rFonts w:eastAsia="Times New Roman" w:cs="Arial"/>
          <w:sz w:val="28"/>
          <w:szCs w:val="28"/>
          <w:lang w:eastAsia="sk-SK"/>
        </w:rPr>
        <w:t>10.</w:t>
      </w:r>
      <w:r w:rsidR="002034CB">
        <w:rPr>
          <w:rFonts w:eastAsia="Times New Roman" w:cs="Arial"/>
          <w:sz w:val="28"/>
          <w:szCs w:val="28"/>
          <w:lang w:eastAsia="sk-SK"/>
        </w:rPr>
        <w:t xml:space="preserve"> </w:t>
      </w:r>
      <w:r w:rsidRPr="00F0732E">
        <w:rPr>
          <w:rFonts w:eastAsia="Times New Roman" w:cs="Arial"/>
          <w:sz w:val="28"/>
          <w:szCs w:val="28"/>
          <w:lang w:eastAsia="sk-SK"/>
        </w:rPr>
        <w:t>2013</w:t>
      </w:r>
    </w:p>
    <w:p w:rsidR="00B51749" w:rsidRPr="00F0732E" w:rsidRDefault="00B51749" w:rsidP="00B51749">
      <w:pPr>
        <w:ind w:right="284"/>
        <w:rPr>
          <w:rFonts w:eastAsia="Calibri" w:cs="Calibri"/>
          <w:sz w:val="28"/>
          <w:szCs w:val="28"/>
        </w:rPr>
      </w:pPr>
    </w:p>
    <w:p w:rsidR="00B51749" w:rsidRPr="00F0732E" w:rsidRDefault="00B51749" w:rsidP="00B51749">
      <w:pPr>
        <w:ind w:right="284"/>
        <w:rPr>
          <w:rFonts w:cs="Calibri"/>
          <w:sz w:val="28"/>
          <w:szCs w:val="28"/>
        </w:rPr>
      </w:pPr>
      <w:r w:rsidRPr="00F0732E">
        <w:rPr>
          <w:rFonts w:cs="Calibri"/>
          <w:b/>
          <w:i/>
          <w:sz w:val="28"/>
          <w:szCs w:val="28"/>
        </w:rPr>
        <w:t>Motivačné štipendiá za mimoriadne výsledky</w:t>
      </w:r>
      <w:r w:rsidRPr="00F0732E">
        <w:rPr>
          <w:rFonts w:cs="Calibri"/>
          <w:sz w:val="28"/>
          <w:szCs w:val="28"/>
        </w:rPr>
        <w:t xml:space="preserve"> boli poskytnuté študentom všetkých stupňov štúdia uplatnením kritérií priznávania motivačného štipendia za mimoriadne výsledky stanovených v Štipendijnom poriadku STU. Kritériá umožňovali priznať a poskytnúť študentovi štipendium za:</w:t>
      </w:r>
    </w:p>
    <w:p w:rsidR="00B51749" w:rsidRPr="00F0732E" w:rsidRDefault="00B51749" w:rsidP="00B51749">
      <w:pPr>
        <w:numPr>
          <w:ilvl w:val="0"/>
          <w:numId w:val="3"/>
        </w:numPr>
        <w:ind w:left="502" w:right="284"/>
        <w:rPr>
          <w:rFonts w:cs="Calibri"/>
          <w:sz w:val="28"/>
          <w:szCs w:val="28"/>
        </w:rPr>
      </w:pPr>
      <w:r w:rsidRPr="00F0732E">
        <w:rPr>
          <w:rFonts w:cs="Calibri"/>
          <w:sz w:val="28"/>
          <w:szCs w:val="28"/>
        </w:rPr>
        <w:t>mimoriadne plnenie študijných povinností,</w:t>
      </w:r>
    </w:p>
    <w:p w:rsidR="00B51749" w:rsidRPr="00F0732E" w:rsidRDefault="00B51749" w:rsidP="00B51749">
      <w:pPr>
        <w:numPr>
          <w:ilvl w:val="0"/>
          <w:numId w:val="3"/>
        </w:numPr>
        <w:ind w:left="502" w:right="284"/>
        <w:rPr>
          <w:rFonts w:cs="Calibri"/>
          <w:sz w:val="28"/>
          <w:szCs w:val="28"/>
        </w:rPr>
      </w:pPr>
      <w:r w:rsidRPr="00F0732E">
        <w:rPr>
          <w:rFonts w:cs="Calibri"/>
          <w:sz w:val="28"/>
          <w:szCs w:val="28"/>
        </w:rPr>
        <w:t>mimoriadny výsledok v oblasti výskumu alebo vývoja,</w:t>
      </w:r>
    </w:p>
    <w:p w:rsidR="00B51749" w:rsidRPr="00F0732E" w:rsidRDefault="00B51749" w:rsidP="00B51749">
      <w:pPr>
        <w:numPr>
          <w:ilvl w:val="0"/>
          <w:numId w:val="3"/>
        </w:numPr>
        <w:ind w:left="502" w:right="284"/>
        <w:rPr>
          <w:rFonts w:cs="Calibri"/>
          <w:sz w:val="28"/>
          <w:szCs w:val="28"/>
        </w:rPr>
      </w:pPr>
      <w:r w:rsidRPr="00F0732E">
        <w:rPr>
          <w:rFonts w:cs="Calibri"/>
          <w:sz w:val="28"/>
          <w:szCs w:val="28"/>
        </w:rPr>
        <w:t>úspešnú reprezentáciu STU, fakulty, alebo inej súčasti STU v športových súťažiach,</w:t>
      </w:r>
    </w:p>
    <w:p w:rsidR="00B51749" w:rsidRPr="00F0732E" w:rsidRDefault="00B51749" w:rsidP="00B51749">
      <w:pPr>
        <w:numPr>
          <w:ilvl w:val="0"/>
          <w:numId w:val="3"/>
        </w:numPr>
        <w:ind w:left="502" w:right="284"/>
        <w:rPr>
          <w:rFonts w:cs="Calibri"/>
          <w:sz w:val="28"/>
          <w:szCs w:val="28"/>
        </w:rPr>
      </w:pPr>
      <w:r w:rsidRPr="00F0732E">
        <w:rPr>
          <w:rFonts w:cs="Calibri"/>
          <w:sz w:val="28"/>
          <w:szCs w:val="28"/>
        </w:rPr>
        <w:t>úspešnú reprezentáciu STU, fakulty, alebo inej súčasti STU v umeleckých súťažiach,</w:t>
      </w:r>
    </w:p>
    <w:p w:rsidR="00B51749" w:rsidRPr="00F0732E" w:rsidRDefault="00B51749" w:rsidP="00B51749">
      <w:pPr>
        <w:numPr>
          <w:ilvl w:val="0"/>
          <w:numId w:val="3"/>
        </w:numPr>
        <w:ind w:left="502" w:right="284"/>
        <w:rPr>
          <w:rFonts w:cs="Calibri"/>
          <w:sz w:val="28"/>
          <w:szCs w:val="28"/>
        </w:rPr>
      </w:pPr>
      <w:r w:rsidRPr="00F0732E">
        <w:rPr>
          <w:rFonts w:cs="Calibri"/>
          <w:sz w:val="28"/>
          <w:szCs w:val="28"/>
        </w:rPr>
        <w:t>úspešnú reprezentáciu STU fakulty, alebo inej súčasti STU v súťažiach v oblasti štúdia, výskumu alebo vývoja.</w:t>
      </w:r>
    </w:p>
    <w:p w:rsidR="00B51749" w:rsidRPr="00F0732E" w:rsidRDefault="00B51749" w:rsidP="00B51749">
      <w:pPr>
        <w:ind w:left="142" w:right="284"/>
        <w:rPr>
          <w:rFonts w:cs="Calibri"/>
          <w:sz w:val="28"/>
          <w:szCs w:val="28"/>
        </w:rPr>
      </w:pPr>
    </w:p>
    <w:p w:rsidR="00B51749" w:rsidRPr="00F0732E" w:rsidRDefault="00B51749" w:rsidP="00B51749">
      <w:pPr>
        <w:ind w:right="284"/>
        <w:rPr>
          <w:rFonts w:cs="Calibri"/>
          <w:sz w:val="28"/>
          <w:szCs w:val="28"/>
        </w:rPr>
      </w:pPr>
      <w:r w:rsidRPr="00F0732E">
        <w:rPr>
          <w:rFonts w:cs="Calibri"/>
          <w:sz w:val="28"/>
          <w:szCs w:val="28"/>
        </w:rPr>
        <w:t xml:space="preserve">Štipendiá z vlastných zdrojov majú charakter </w:t>
      </w:r>
      <w:r w:rsidRPr="00F0732E">
        <w:rPr>
          <w:rFonts w:cs="Calibri"/>
          <w:b/>
          <w:i/>
          <w:sz w:val="28"/>
          <w:szCs w:val="28"/>
        </w:rPr>
        <w:t>mimoriadneho štipendia</w:t>
      </w:r>
      <w:r w:rsidRPr="00F0732E">
        <w:rPr>
          <w:rFonts w:cs="Calibri"/>
          <w:sz w:val="28"/>
          <w:szCs w:val="28"/>
        </w:rPr>
        <w:t xml:space="preserve"> a mohli byť poskytnuté študentom zo štipendijného fondu z vlastných zdrojov ako:</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„Cena rektora STU“,</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za kvalitnú záverečnú prácu,</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na podporu štúdia v rámci mimo univerzitnej mobility študenta,</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na podporu zahraničných študentov,</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na podporu vrcholových športovcov,</w:t>
      </w:r>
    </w:p>
    <w:p w:rsidR="00B51749" w:rsidRPr="00F0732E" w:rsidRDefault="00B51749" w:rsidP="00B51749">
      <w:pPr>
        <w:pStyle w:val="Odsekzoznamu"/>
        <w:numPr>
          <w:ilvl w:val="0"/>
          <w:numId w:val="24"/>
        </w:numPr>
        <w:spacing w:line="240" w:lineRule="auto"/>
        <w:ind w:left="567" w:right="284" w:hanging="425"/>
        <w:rPr>
          <w:rFonts w:ascii="Cambria" w:hAnsi="Cambria" w:cs="Calibri"/>
          <w:sz w:val="28"/>
          <w:szCs w:val="28"/>
        </w:rPr>
      </w:pPr>
      <w:r w:rsidRPr="00F0732E">
        <w:rPr>
          <w:rFonts w:ascii="Cambria" w:hAnsi="Cambria" w:cs="Calibri"/>
          <w:sz w:val="28"/>
          <w:szCs w:val="28"/>
        </w:rPr>
        <w:t>mimoriadne štipendium za významnú činnosť konanú v prospech STU,</w:t>
      </w:r>
    </w:p>
    <w:p w:rsidR="00B51749" w:rsidRPr="00F0732E" w:rsidRDefault="00B51749" w:rsidP="00B51749">
      <w:pPr>
        <w:pStyle w:val="Odsekzoznamu"/>
        <w:numPr>
          <w:ilvl w:val="0"/>
          <w:numId w:val="24"/>
        </w:numPr>
        <w:spacing w:after="0" w:line="240" w:lineRule="auto"/>
        <w:ind w:left="567" w:right="284" w:hanging="425"/>
        <w:rPr>
          <w:rFonts w:ascii="Cambria" w:hAnsi="Cambria" w:cs="Calibri"/>
          <w:sz w:val="28"/>
          <w:szCs w:val="28"/>
        </w:rPr>
      </w:pPr>
      <w:r w:rsidRPr="00F0732E">
        <w:rPr>
          <w:rFonts w:ascii="Cambria" w:hAnsi="Cambria" w:cs="Calibri"/>
          <w:sz w:val="28"/>
          <w:szCs w:val="28"/>
        </w:rPr>
        <w:t>ďalšie mimoriadne štipendiá.</w:t>
      </w:r>
    </w:p>
    <w:p w:rsidR="00B51749" w:rsidRPr="00F0732E" w:rsidRDefault="00B51749" w:rsidP="00B51749">
      <w:pPr>
        <w:ind w:right="284"/>
        <w:rPr>
          <w:rFonts w:cs="Calibri"/>
          <w:sz w:val="28"/>
          <w:szCs w:val="28"/>
        </w:rPr>
      </w:pPr>
      <w:r w:rsidRPr="00F0732E">
        <w:rPr>
          <w:rFonts w:cs="Calibri"/>
          <w:sz w:val="28"/>
          <w:szCs w:val="28"/>
        </w:rPr>
        <w:lastRenderedPageBreak/>
        <w:t xml:space="preserve">Mimoriadne štipendium bolo priznané rektorom na návrh dekana fakulty, prípadne riaditeľa Ústavu manažmentu alebo bolo priznané dekanom na základe akceptovania návrhu člena akademickej obce univerzity. </w:t>
      </w:r>
    </w:p>
    <w:p w:rsidR="00B51749" w:rsidRPr="00F0732E" w:rsidRDefault="00B51749" w:rsidP="00B51749">
      <w:pPr>
        <w:ind w:right="284"/>
        <w:rPr>
          <w:rFonts w:cs="Calibri"/>
          <w:sz w:val="28"/>
          <w:szCs w:val="28"/>
        </w:rPr>
      </w:pPr>
      <w:r w:rsidRPr="00F0732E">
        <w:rPr>
          <w:rFonts w:cs="Calibri"/>
          <w:sz w:val="28"/>
          <w:szCs w:val="28"/>
        </w:rPr>
        <w:t xml:space="preserve">Celkové sumy poskytnuté na motivačné štipendiá za mimoriadne výsledky a mimoriadne štipendiá z vlastných zdrojov v akad. roku 2013/14 na jednotlivých súčastiach STU udáva </w:t>
      </w:r>
      <w:r w:rsidR="003D2012">
        <w:rPr>
          <w:rFonts w:cs="Calibri"/>
          <w:sz w:val="28"/>
          <w:szCs w:val="28"/>
        </w:rPr>
        <w:t>T</w:t>
      </w:r>
      <w:r w:rsidRPr="00F0732E">
        <w:rPr>
          <w:rFonts w:cs="Calibri"/>
          <w:sz w:val="28"/>
          <w:szCs w:val="28"/>
        </w:rPr>
        <w:t xml:space="preserve">abuľka </w:t>
      </w:r>
      <w:r w:rsidR="00B828C8">
        <w:rPr>
          <w:rFonts w:cs="Calibri"/>
          <w:sz w:val="28"/>
          <w:szCs w:val="28"/>
        </w:rPr>
        <w:t>8.4</w:t>
      </w:r>
      <w:r w:rsidRPr="00F0732E">
        <w:rPr>
          <w:rFonts w:cs="Calibri"/>
          <w:sz w:val="28"/>
          <w:szCs w:val="28"/>
        </w:rPr>
        <w:t>.</w:t>
      </w:r>
    </w:p>
    <w:p w:rsidR="00B51749" w:rsidRPr="00F0732E" w:rsidRDefault="00B51749" w:rsidP="00B51749">
      <w:pPr>
        <w:rPr>
          <w:rFonts w:cs="Calibri"/>
          <w:sz w:val="28"/>
          <w:szCs w:val="28"/>
        </w:rPr>
      </w:pPr>
    </w:p>
    <w:p w:rsidR="00B51749" w:rsidRPr="00F0732E" w:rsidRDefault="00B51749" w:rsidP="00B51749">
      <w:pPr>
        <w:ind w:right="284"/>
        <w:rPr>
          <w:rFonts w:cs="Calibri"/>
          <w:b/>
          <w:sz w:val="28"/>
          <w:szCs w:val="28"/>
        </w:rPr>
      </w:pPr>
      <w:r w:rsidRPr="00F0732E">
        <w:rPr>
          <w:rFonts w:cs="Calibri"/>
          <w:b/>
          <w:sz w:val="28"/>
          <w:szCs w:val="28"/>
        </w:rPr>
        <w:t>Tabuľka 8.4: Ďalšie motivačné a mimoriadne štipendiá poskytnuté študentom v akad. roku 2013/2014</w:t>
      </w:r>
    </w:p>
    <w:tbl>
      <w:tblPr>
        <w:tblW w:w="5827" w:type="dxa"/>
        <w:tblInd w:w="55" w:type="dxa"/>
        <w:tblLayout w:type="fixed"/>
        <w:tblCellMar>
          <w:left w:w="70" w:type="dxa"/>
          <w:right w:w="70" w:type="dxa"/>
        </w:tblCellMar>
        <w:tblLook w:val="04A0" w:firstRow="1" w:lastRow="0" w:firstColumn="1" w:lastColumn="0" w:noHBand="0" w:noVBand="1"/>
      </w:tblPr>
      <w:tblGrid>
        <w:gridCol w:w="1716"/>
        <w:gridCol w:w="1701"/>
        <w:gridCol w:w="2410"/>
      </w:tblGrid>
      <w:tr w:rsidR="00B51749" w:rsidRPr="00F0732E" w:rsidTr="00447572">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 xml:space="preserve">Fakulta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Počet študentov</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Celková suma vyplatených štipendií v €</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482</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96 026</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143</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50 743</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499</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112 222</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167</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14 522</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41</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5 880</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196</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28 302</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73</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12 730</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19</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10 960</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Spolu</w:t>
            </w:r>
          </w:p>
        </w:tc>
        <w:tc>
          <w:tcPr>
            <w:tcW w:w="1701"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1 620</w:t>
            </w:r>
          </w:p>
        </w:tc>
        <w:tc>
          <w:tcPr>
            <w:tcW w:w="2410" w:type="dxa"/>
            <w:tcBorders>
              <w:top w:val="nil"/>
              <w:left w:val="nil"/>
              <w:bottom w:val="single" w:sz="4" w:space="0" w:color="auto"/>
              <w:right w:val="single" w:sz="4" w:space="0" w:color="auto"/>
            </w:tcBorders>
            <w:shd w:val="clear" w:color="auto" w:fill="auto"/>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331 385</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Priznané rektorom</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129</w:t>
            </w:r>
          </w:p>
        </w:tc>
        <w:tc>
          <w:tcPr>
            <w:tcW w:w="2410"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44 131</w:t>
            </w:r>
          </w:p>
        </w:tc>
      </w:tr>
      <w:tr w:rsidR="00B51749" w:rsidRPr="00F0732E" w:rsidTr="00447572">
        <w:trPr>
          <w:trHeight w:val="20"/>
        </w:trPr>
        <w:tc>
          <w:tcPr>
            <w:tcW w:w="1716" w:type="dxa"/>
            <w:tcBorders>
              <w:top w:val="nil"/>
              <w:left w:val="single" w:sz="4" w:space="0" w:color="auto"/>
              <w:bottom w:val="single" w:sz="4" w:space="0" w:color="auto"/>
              <w:right w:val="single" w:sz="4" w:space="0" w:color="auto"/>
            </w:tcBorders>
            <w:shd w:val="clear" w:color="auto" w:fill="BFBFBF"/>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701"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1 749</w:t>
            </w:r>
          </w:p>
        </w:tc>
        <w:tc>
          <w:tcPr>
            <w:tcW w:w="2410" w:type="dxa"/>
            <w:tcBorders>
              <w:top w:val="nil"/>
              <w:left w:val="nil"/>
              <w:bottom w:val="single" w:sz="4" w:space="0" w:color="auto"/>
              <w:right w:val="single" w:sz="4" w:space="0" w:color="auto"/>
            </w:tcBorders>
            <w:shd w:val="clear" w:color="auto" w:fill="BFBFBF"/>
            <w:noWrap/>
            <w:vAlign w:val="bottom"/>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375 516</w:t>
            </w:r>
          </w:p>
        </w:tc>
      </w:tr>
    </w:tbl>
    <w:p w:rsidR="00B51749" w:rsidRPr="00F0732E" w:rsidRDefault="00B51749" w:rsidP="00B51749">
      <w:pPr>
        <w:rPr>
          <w:b/>
          <w:color w:val="FF0000"/>
          <w:sz w:val="28"/>
          <w:szCs w:val="28"/>
          <w:shd w:val="clear" w:color="auto" w:fill="FFFFFF"/>
        </w:rPr>
      </w:pPr>
    </w:p>
    <w:p w:rsidR="00440AB3" w:rsidRPr="00F0732E" w:rsidRDefault="00440AB3" w:rsidP="00B51749">
      <w:pPr>
        <w:rPr>
          <w:b/>
          <w:color w:val="FF0000"/>
          <w:sz w:val="28"/>
          <w:szCs w:val="28"/>
          <w:shd w:val="clear" w:color="auto" w:fill="FFFFFF"/>
        </w:rPr>
      </w:pPr>
    </w:p>
    <w:p w:rsidR="00B51749" w:rsidRPr="00F0732E" w:rsidRDefault="00B51749" w:rsidP="00B51749">
      <w:pPr>
        <w:pStyle w:val="Nadpis2"/>
        <w:rPr>
          <w:rFonts w:ascii="Cambria" w:hAnsi="Cambria"/>
          <w:color w:val="auto"/>
          <w:shd w:val="clear" w:color="auto" w:fill="FFFFFF"/>
        </w:rPr>
      </w:pPr>
      <w:bookmarkStart w:id="51" w:name="_Toc413009353"/>
      <w:r w:rsidRPr="00F0732E">
        <w:rPr>
          <w:rFonts w:ascii="Cambria" w:hAnsi="Cambria"/>
          <w:color w:val="auto"/>
          <w:shd w:val="clear" w:color="auto" w:fill="FFFFFF"/>
        </w:rPr>
        <w:t>Pôžičky</w:t>
      </w:r>
      <w:bookmarkEnd w:id="51"/>
      <w:r w:rsidRPr="00F0732E">
        <w:rPr>
          <w:rFonts w:ascii="Cambria" w:hAnsi="Cambria"/>
          <w:color w:val="auto"/>
          <w:shd w:val="clear" w:color="auto" w:fill="FFFFFF"/>
        </w:rPr>
        <w:t xml:space="preserve"> </w:t>
      </w:r>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rPr>
      </w:pPr>
      <w:r w:rsidRPr="00F0732E">
        <w:rPr>
          <w:rFonts w:cs="Calibri"/>
          <w:sz w:val="28"/>
          <w:szCs w:val="28"/>
        </w:rPr>
        <w:t xml:space="preserve">Fond na podporu vzdelávania (v minulosti Študentský pôžičkový fond) poskytuje pôžičky študentom denného a externého štúdia študujúcim na všetkých stupňoch štúdia na slovenských a zahraničných vysokých školách, ktorí majú trvalý pobyt v Slovenskej republike alebo majú postavenie Slováka žijúceho v zahraničí alebo sú občanmi Európskej únie, ktorí majú právo na trvalý pobyt na území Slovenskej republiky, alebo ich rodinným príslušníkom s právom na trvalý pobyt. Pôžičky sú určené na úhradu časti nákladov na vysokoškolské štúdium. Študenti sa môžu uchádzať o pôžičku prostredníctvom podania žiadosti priamo na Fond na </w:t>
      </w:r>
      <w:r w:rsidRPr="00F0732E">
        <w:rPr>
          <w:rFonts w:cs="Calibri"/>
          <w:sz w:val="28"/>
          <w:szCs w:val="28"/>
        </w:rPr>
        <w:lastRenderedPageBreak/>
        <w:t>podporu vzdelávania. Počet pridelených pôžičiek za akademické roky 2009/10 až 2013/14 je sumarizovaný v Tabuľke 8.5.</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8.5: Pridelené pôžičky študentom za ostatných päť akademických rokov</w:t>
      </w:r>
    </w:p>
    <w:tbl>
      <w:tblPr>
        <w:tblW w:w="6068" w:type="dxa"/>
        <w:tblInd w:w="75" w:type="dxa"/>
        <w:tblCellMar>
          <w:left w:w="70" w:type="dxa"/>
          <w:right w:w="70" w:type="dxa"/>
        </w:tblCellMar>
        <w:tblLook w:val="04A0" w:firstRow="1" w:lastRow="0" w:firstColumn="1" w:lastColumn="0" w:noHBand="0" w:noVBand="1"/>
      </w:tblPr>
      <w:tblGrid>
        <w:gridCol w:w="1022"/>
        <w:gridCol w:w="1469"/>
        <w:gridCol w:w="1470"/>
        <w:gridCol w:w="1470"/>
        <w:gridCol w:w="1470"/>
        <w:gridCol w:w="1470"/>
      </w:tblGrid>
      <w:tr w:rsidR="00B51749" w:rsidRPr="00F0732E" w:rsidTr="00447572">
        <w:trPr>
          <w:trHeight w:val="255"/>
        </w:trPr>
        <w:tc>
          <w:tcPr>
            <w:tcW w:w="820" w:type="dxa"/>
            <w:tcBorders>
              <w:top w:val="single" w:sz="4" w:space="0" w:color="auto"/>
              <w:left w:val="single" w:sz="4" w:space="0" w:color="auto"/>
              <w:bottom w:val="nil"/>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Fakulta</w:t>
            </w:r>
          </w:p>
        </w:tc>
        <w:tc>
          <w:tcPr>
            <w:tcW w:w="1100"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2009/2010</w:t>
            </w:r>
          </w:p>
        </w:tc>
        <w:tc>
          <w:tcPr>
            <w:tcW w:w="1037"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2010/2011</w:t>
            </w:r>
          </w:p>
        </w:tc>
        <w:tc>
          <w:tcPr>
            <w:tcW w:w="1037"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2011/2012</w:t>
            </w:r>
          </w:p>
        </w:tc>
        <w:tc>
          <w:tcPr>
            <w:tcW w:w="1037"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2012/2013</w:t>
            </w:r>
          </w:p>
        </w:tc>
        <w:tc>
          <w:tcPr>
            <w:tcW w:w="1037"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2013/2014</w:t>
            </w:r>
          </w:p>
        </w:tc>
      </w:tr>
      <w:tr w:rsidR="00B51749" w:rsidRPr="00F0732E" w:rsidTr="00447572">
        <w:trPr>
          <w:trHeight w:val="25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SvF</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57</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54</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78</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53</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SjF</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23</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18</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24</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26</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20</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FEI</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35</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42</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44</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22</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FCHPT</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19</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24</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33</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26</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25</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FA</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25</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19</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23</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MTF</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34</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25</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42</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38</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FIIT</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16</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17</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27</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21</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ÚM</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0</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1</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2</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6</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0"/>
              <w:jc w:val="right"/>
              <w:rPr>
                <w:rFonts w:eastAsia="Times New Roman" w:cs="Arial"/>
                <w:sz w:val="28"/>
                <w:szCs w:val="28"/>
                <w:lang w:eastAsia="sk-SK"/>
              </w:rPr>
            </w:pPr>
            <w:r w:rsidRPr="00F0732E">
              <w:rPr>
                <w:rFonts w:eastAsia="Times New Roman" w:cs="Arial"/>
                <w:sz w:val="28"/>
                <w:szCs w:val="28"/>
                <w:lang w:eastAsia="sk-SK"/>
              </w:rPr>
              <w:t>3</w:t>
            </w:r>
          </w:p>
        </w:tc>
      </w:tr>
      <w:tr w:rsidR="00B51749" w:rsidRPr="00F0732E" w:rsidTr="00447572">
        <w:trPr>
          <w:trHeight w:val="255"/>
        </w:trPr>
        <w:tc>
          <w:tcPr>
            <w:tcW w:w="820"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STU</w:t>
            </w:r>
          </w:p>
        </w:tc>
        <w:tc>
          <w:tcPr>
            <w:tcW w:w="1100"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209</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199</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242</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255</w:t>
            </w:r>
          </w:p>
        </w:tc>
        <w:tc>
          <w:tcPr>
            <w:tcW w:w="1037" w:type="dxa"/>
            <w:tcBorders>
              <w:top w:val="nil"/>
              <w:left w:val="nil"/>
              <w:bottom w:val="single" w:sz="4" w:space="0" w:color="auto"/>
              <w:right w:val="single" w:sz="4" w:space="0" w:color="auto"/>
            </w:tcBorders>
            <w:noWrap/>
            <w:vAlign w:val="center"/>
            <w:hideMark/>
          </w:tcPr>
          <w:p w:rsidR="00B51749" w:rsidRPr="00F0732E" w:rsidRDefault="00B51749" w:rsidP="00447572">
            <w:pPr>
              <w:ind w:firstLineChars="100" w:firstLine="281"/>
              <w:jc w:val="right"/>
              <w:rPr>
                <w:rFonts w:eastAsia="Times New Roman" w:cs="Arial"/>
                <w:b/>
                <w:bCs/>
                <w:sz w:val="28"/>
                <w:szCs w:val="28"/>
                <w:lang w:eastAsia="sk-SK"/>
              </w:rPr>
            </w:pPr>
            <w:r w:rsidRPr="00F0732E">
              <w:rPr>
                <w:rFonts w:eastAsia="Times New Roman" w:cs="Arial"/>
                <w:b/>
                <w:bCs/>
                <w:sz w:val="28"/>
                <w:szCs w:val="28"/>
                <w:lang w:eastAsia="sk-SK"/>
              </w:rPr>
              <w:t>198</w:t>
            </w:r>
          </w:p>
        </w:tc>
      </w:tr>
    </w:tbl>
    <w:p w:rsidR="00B51749" w:rsidRPr="00440AB3" w:rsidRDefault="00B51749" w:rsidP="00B51749">
      <w:pPr>
        <w:rPr>
          <w:rFonts w:cs="Calibri"/>
          <w:sz w:val="28"/>
          <w:szCs w:val="28"/>
        </w:rPr>
      </w:pPr>
      <w:r w:rsidRPr="00F0732E">
        <w:rPr>
          <w:rFonts w:eastAsia="Times New Roman" w:cs="Arial"/>
          <w:sz w:val="28"/>
          <w:szCs w:val="28"/>
          <w:lang w:eastAsia="sk-SK"/>
        </w:rPr>
        <w:t>Zdroj: Študentský pôžičkový fond/Fond na podporu vzdelávania</w:t>
      </w:r>
    </w:p>
    <w:p w:rsidR="00B51749" w:rsidRPr="00F0732E" w:rsidRDefault="00B51749" w:rsidP="00B51749">
      <w:pPr>
        <w:rPr>
          <w:b/>
          <w:bCs/>
          <w:color w:val="FF0000"/>
          <w:sz w:val="28"/>
          <w:szCs w:val="28"/>
          <w:shd w:val="clear" w:color="auto" w:fill="FFFFFF"/>
        </w:rPr>
      </w:pPr>
    </w:p>
    <w:p w:rsidR="00B51749" w:rsidRPr="00F0732E" w:rsidRDefault="00B51749" w:rsidP="00B51749">
      <w:pPr>
        <w:pStyle w:val="Nadpis2"/>
        <w:rPr>
          <w:rFonts w:ascii="Cambria" w:hAnsi="Cambria"/>
          <w:color w:val="auto"/>
          <w:shd w:val="clear" w:color="auto" w:fill="FFFFFF"/>
        </w:rPr>
      </w:pPr>
      <w:bookmarkStart w:id="52" w:name="_Toc413009354"/>
      <w:r w:rsidRPr="00F0732E">
        <w:rPr>
          <w:rFonts w:ascii="Cambria" w:hAnsi="Cambria"/>
          <w:color w:val="auto"/>
          <w:shd w:val="clear" w:color="auto" w:fill="FFFFFF"/>
        </w:rPr>
        <w:t>Ubytovanie</w:t>
      </w:r>
      <w:bookmarkEnd w:id="52"/>
    </w:p>
    <w:p w:rsidR="00B51749" w:rsidRPr="00F0732E" w:rsidRDefault="00B51749" w:rsidP="00B51749">
      <w:pPr>
        <w:rPr>
          <w:color w:val="FF0000"/>
          <w:sz w:val="28"/>
          <w:szCs w:val="28"/>
          <w:lang w:eastAsia="cs-CZ"/>
        </w:rPr>
      </w:pPr>
    </w:p>
    <w:p w:rsidR="00B51749" w:rsidRPr="00F0732E" w:rsidRDefault="002C5BC6" w:rsidP="00B51749">
      <w:pPr>
        <w:rPr>
          <w:sz w:val="28"/>
          <w:szCs w:val="28"/>
        </w:rPr>
      </w:pPr>
      <w:r>
        <w:rPr>
          <w:sz w:val="28"/>
          <w:szCs w:val="28"/>
        </w:rPr>
        <w:t>STU mala v roku 2014 na</w:t>
      </w:r>
      <w:r w:rsidR="00B51749" w:rsidRPr="00F0732E">
        <w:rPr>
          <w:sz w:val="28"/>
          <w:szCs w:val="28"/>
        </w:rPr>
        <w:t xml:space="preserve"> ubytovanie študentov k dispozícii sedem študentských domovov na území mesta Bratislava s kapacitou 5 270 lôžok. Ubytovacia kapacita jednotlivých internátov pre študentov a doktorandov bola k 31.</w:t>
      </w:r>
      <w:r>
        <w:rPr>
          <w:sz w:val="28"/>
          <w:szCs w:val="28"/>
        </w:rPr>
        <w:t xml:space="preserve"> </w:t>
      </w:r>
      <w:r w:rsidR="00B51749" w:rsidRPr="00F0732E">
        <w:rPr>
          <w:sz w:val="28"/>
          <w:szCs w:val="28"/>
        </w:rPr>
        <w:t>10.</w:t>
      </w:r>
      <w:r>
        <w:rPr>
          <w:sz w:val="28"/>
          <w:szCs w:val="28"/>
        </w:rPr>
        <w:t xml:space="preserve"> </w:t>
      </w:r>
      <w:r w:rsidR="00B51749" w:rsidRPr="00F0732E">
        <w:rPr>
          <w:sz w:val="28"/>
          <w:szCs w:val="28"/>
        </w:rPr>
        <w:t>2014 nasledovná:</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Mladosť</w:t>
      </w:r>
      <w:r w:rsidRPr="00F0732E">
        <w:rPr>
          <w:sz w:val="28"/>
          <w:szCs w:val="28"/>
        </w:rPr>
        <w:tab/>
        <w:t>1 881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Mladá Garda</w:t>
      </w:r>
      <w:r w:rsidRPr="00F0732E">
        <w:rPr>
          <w:sz w:val="28"/>
          <w:szCs w:val="28"/>
        </w:rPr>
        <w:tab/>
        <w:t>1 373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Jura Hronca</w:t>
      </w:r>
      <w:r w:rsidRPr="00F0732E">
        <w:rPr>
          <w:sz w:val="28"/>
          <w:szCs w:val="28"/>
        </w:rPr>
        <w:tab/>
        <w:t>898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Dobrovičova</w:t>
      </w:r>
      <w:r w:rsidRPr="00F0732E">
        <w:rPr>
          <w:sz w:val="28"/>
          <w:szCs w:val="28"/>
        </w:rPr>
        <w:tab/>
        <w:t>555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Svoradov</w:t>
      </w:r>
      <w:r w:rsidRPr="00F0732E">
        <w:rPr>
          <w:sz w:val="28"/>
          <w:szCs w:val="28"/>
        </w:rPr>
        <w:tab/>
        <w:t>296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Nikosa Belojanisa</w:t>
      </w:r>
      <w:r w:rsidRPr="00F0732E">
        <w:rPr>
          <w:sz w:val="28"/>
          <w:szCs w:val="28"/>
        </w:rPr>
        <w:tab/>
        <w:t>205 lôžok</w:t>
      </w:r>
    </w:p>
    <w:p w:rsidR="00B51749" w:rsidRPr="00F0732E" w:rsidRDefault="00B51749" w:rsidP="00B51749">
      <w:pPr>
        <w:numPr>
          <w:ilvl w:val="0"/>
          <w:numId w:val="4"/>
        </w:numPr>
        <w:tabs>
          <w:tab w:val="right" w:pos="4680"/>
          <w:tab w:val="right" w:pos="7380"/>
        </w:tabs>
        <w:rPr>
          <w:sz w:val="28"/>
          <w:szCs w:val="28"/>
        </w:rPr>
      </w:pPr>
      <w:r w:rsidRPr="00F0732E">
        <w:rPr>
          <w:sz w:val="28"/>
          <w:szCs w:val="28"/>
        </w:rPr>
        <w:t>ŠD Mýtna</w:t>
      </w:r>
      <w:r w:rsidRPr="00F0732E">
        <w:rPr>
          <w:sz w:val="28"/>
          <w:szCs w:val="28"/>
        </w:rPr>
        <w:tab/>
        <w:t>62 lôžok</w:t>
      </w:r>
    </w:p>
    <w:p w:rsidR="00B51749" w:rsidRPr="00F0732E" w:rsidRDefault="00B51749" w:rsidP="00B51749">
      <w:pPr>
        <w:tabs>
          <w:tab w:val="right" w:pos="4680"/>
          <w:tab w:val="right" w:pos="7380"/>
        </w:tabs>
        <w:ind w:left="720"/>
        <w:rPr>
          <w:b/>
          <w:bCs/>
          <w:sz w:val="28"/>
          <w:szCs w:val="28"/>
        </w:rPr>
      </w:pPr>
      <w:r w:rsidRPr="00F0732E">
        <w:rPr>
          <w:b/>
          <w:bCs/>
          <w:sz w:val="28"/>
          <w:szCs w:val="28"/>
        </w:rPr>
        <w:t>Spolu</w:t>
      </w:r>
      <w:r w:rsidRPr="00F0732E">
        <w:rPr>
          <w:b/>
          <w:bCs/>
          <w:sz w:val="28"/>
          <w:szCs w:val="28"/>
        </w:rPr>
        <w:tab/>
        <w:t>5 270 lôžok</w:t>
      </w:r>
      <w:r w:rsidRPr="00F0732E">
        <w:rPr>
          <w:b/>
          <w:bCs/>
          <w:sz w:val="28"/>
          <w:szCs w:val="28"/>
        </w:rPr>
        <w:br w:type="page"/>
      </w:r>
    </w:p>
    <w:p w:rsidR="00B51749" w:rsidRPr="00F0732E" w:rsidRDefault="00B51749" w:rsidP="00B51749">
      <w:pPr>
        <w:rPr>
          <w:sz w:val="28"/>
          <w:szCs w:val="28"/>
        </w:rPr>
      </w:pPr>
      <w:r w:rsidRPr="00F0732E">
        <w:rPr>
          <w:sz w:val="28"/>
          <w:szCs w:val="28"/>
        </w:rPr>
        <w:lastRenderedPageBreak/>
        <w:t>Ubytovanie bolo zabezpečené v</w:t>
      </w:r>
      <w:r w:rsidR="00AF726A">
        <w:rPr>
          <w:sz w:val="28"/>
          <w:szCs w:val="28"/>
        </w:rPr>
        <w:t> </w:t>
      </w:r>
      <w:r w:rsidRPr="00F0732E">
        <w:rPr>
          <w:sz w:val="28"/>
          <w:szCs w:val="28"/>
        </w:rPr>
        <w:t>jedno</w:t>
      </w:r>
      <w:r w:rsidR="00AF726A">
        <w:rPr>
          <w:sz w:val="28"/>
          <w:szCs w:val="28"/>
        </w:rPr>
        <w:t>-</w:t>
      </w:r>
      <w:r w:rsidRPr="00F0732E">
        <w:rPr>
          <w:sz w:val="28"/>
          <w:szCs w:val="28"/>
        </w:rPr>
        <w:t xml:space="preserve"> až štvorlôžkových izbách. Na ubytovanie zamestnancov a hostí STU bolo z kapacity ŠD vyčlenených 273 lôžok. Výška poplatku za ubytovanie študentov sa v porovnaní s predchádzajúcim rokom nezmenila. </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Z kapitálovej dotácie roku 2013 vo výške 499 900 € a roku 2014 vo výške 600 000 € bola v tomto roku financovaná 1. polovica 1. etapy rekonštrukcie sociálnych zariadení a izieb v ŠD Mladosť. Tieto finančné prostriedky nepokrývajú celú potrebu, preto bude akcia dofinancovaná z iných zdrojov. V roku 2015 plánujeme realizovať 2. polovicu 1. etapy v hodnote cca 1 261 000 €. </w:t>
      </w:r>
    </w:p>
    <w:p w:rsidR="00B51749" w:rsidRPr="00F0732E" w:rsidRDefault="00B51749" w:rsidP="00B51749">
      <w:pPr>
        <w:rPr>
          <w:sz w:val="28"/>
          <w:szCs w:val="28"/>
        </w:rPr>
      </w:pPr>
      <w:r w:rsidRPr="00F0732E">
        <w:rPr>
          <w:sz w:val="28"/>
          <w:szCs w:val="28"/>
        </w:rPr>
        <w:t xml:space="preserve">Zo zostatku účelovo určenej dotácie (Akademickým senátom STU) z roku 2013 vo výške 860 865 € (celková výška pridelených prostriedkov bola 1 171 041 €) bola financovaná časť 1. etapy opravy sociálnych zariadení ŠD JH vo výške 164 014 €, rekonštrukcia elektroinštalácie ŠD JH vo výške 160 611 € a nákup protipožiarnych dverí a ďalšie opravy v ŠD Jura </w:t>
      </w:r>
      <w:r w:rsidR="002C5BC6">
        <w:rPr>
          <w:sz w:val="28"/>
          <w:szCs w:val="28"/>
        </w:rPr>
        <w:t>Hronca, ŠD Mladá g</w:t>
      </w:r>
      <w:r w:rsidRPr="00F0732E">
        <w:rPr>
          <w:sz w:val="28"/>
          <w:szCs w:val="28"/>
        </w:rPr>
        <w:t xml:space="preserve">arda a ŠD Dobrovičova vo výške 83 943 €; spolu vo výške 408 568 €. Zostatok vo výške 452 296 € bude v roku 2015 použitý na pokračovanie opravy sociálnych zariadení v ŠD Jura Hronca.  </w:t>
      </w:r>
    </w:p>
    <w:p w:rsidR="00B51749" w:rsidRPr="00F0732E" w:rsidRDefault="00B51749" w:rsidP="00B51749">
      <w:pPr>
        <w:rPr>
          <w:sz w:val="28"/>
          <w:szCs w:val="28"/>
        </w:rPr>
      </w:pPr>
      <w:r w:rsidRPr="00F0732E">
        <w:rPr>
          <w:sz w:val="28"/>
          <w:szCs w:val="28"/>
        </w:rPr>
        <w:t>Z vlastnej dotácie na bežné výdavky bola v roku 2014 okrem miezd financovaná výmena nábytku na študentských izbách v hodnote 68 606 €, daň z nehnuteľnosti vo výške 140 053 € a  opravy v celkovej výške 651 613 €. Časť bežnej dotácie vo výške 51 397 € bola použitá ako kapitálový výdavok na rekonštrukciu sociálnych zariadení a izieb v ŠD Mladosť. Bežná dotácia, pridelen</w:t>
      </w:r>
      <w:r w:rsidR="003B31E2">
        <w:rPr>
          <w:sz w:val="28"/>
          <w:szCs w:val="28"/>
        </w:rPr>
        <w:t>á</w:t>
      </w:r>
      <w:r w:rsidRPr="00F0732E">
        <w:rPr>
          <w:sz w:val="28"/>
          <w:szCs w:val="28"/>
        </w:rPr>
        <w:t xml:space="preserve"> MŠ SR v roku 2014 bola v plnej výške vyčerpaná.  </w:t>
      </w:r>
    </w:p>
    <w:p w:rsidR="00B51749" w:rsidRPr="00F0732E" w:rsidRDefault="00B51749" w:rsidP="00B51749">
      <w:pPr>
        <w:rPr>
          <w:sz w:val="28"/>
          <w:szCs w:val="28"/>
        </w:rPr>
      </w:pPr>
      <w:r w:rsidRPr="00F0732E">
        <w:rPr>
          <w:sz w:val="28"/>
          <w:szCs w:val="28"/>
        </w:rPr>
        <w:t xml:space="preserve">Z vlastných príjmov bola financovaná len drobná údržba a opravy podľa potrieb študentských domovov. Aj v roku 2014, tak ako v predchádzajúcich rokoch, boli finančné prostriedky použité len na odstraňovanie havarijných situácií, prípadne na riešenie problémov, ktoré už haváriou hrozili.  </w:t>
      </w:r>
    </w:p>
    <w:p w:rsidR="00B51749" w:rsidRPr="00F0732E" w:rsidRDefault="00B51749" w:rsidP="00B51749">
      <w:pPr>
        <w:rPr>
          <w:sz w:val="28"/>
          <w:szCs w:val="28"/>
        </w:rPr>
      </w:pPr>
      <w:r w:rsidRPr="00F0732E">
        <w:rPr>
          <w:sz w:val="28"/>
          <w:szCs w:val="28"/>
        </w:rPr>
        <w:t xml:space="preserve">Finančne najnáročnejšou akciou zostáva rekonštrukcia sociálnych zariadení a izieb v ŠD Mladosť, ktorá bola klasifikovaná ako technické zhodnotenie budovy, preto môže byť financovaná len z kapitálových výdavkov. Tie v súčasnosti už ÚZ ŠDaJ nemá k dispozícii, preto tento problém bude potrebné v roku 2015 riešiť. </w:t>
      </w:r>
    </w:p>
    <w:p w:rsidR="00B51749" w:rsidRPr="00F0732E" w:rsidRDefault="00B51749" w:rsidP="00B51749">
      <w:pPr>
        <w:rPr>
          <w:sz w:val="28"/>
          <w:szCs w:val="28"/>
        </w:rPr>
      </w:pPr>
      <w:r w:rsidRPr="00F0732E">
        <w:rPr>
          <w:sz w:val="28"/>
          <w:szCs w:val="28"/>
        </w:rPr>
        <w:t xml:space="preserve">Okrem toho je v nasledujúcich rokoch potrebné vykonať i ďalšie opravy, pretože súčasný stav ďalších budov ohrozuje zabezpečenie ich prevádzkyschopnosti. Je nevyhnutné pokračovať v oprave </w:t>
      </w:r>
      <w:r w:rsidRPr="00F0732E">
        <w:rPr>
          <w:sz w:val="28"/>
          <w:szCs w:val="28"/>
        </w:rPr>
        <w:lastRenderedPageBreak/>
        <w:t>sociálnych zariadení ŠD Jura Hronca (z potrebných štyroch etáp bola zatiaľ realizovaná jedna, pričom cena jednej etapy je cca 830 000</w:t>
      </w:r>
      <w:r w:rsidR="003B31E2">
        <w:rPr>
          <w:sz w:val="28"/>
          <w:szCs w:val="28"/>
        </w:rPr>
        <w:t xml:space="preserve"> €), vo </w:t>
      </w:r>
      <w:r w:rsidRPr="00F0732E">
        <w:rPr>
          <w:sz w:val="28"/>
          <w:szCs w:val="28"/>
        </w:rPr>
        <w:t>výmene svietidiel vo všetkých ŠD,</w:t>
      </w:r>
      <w:r w:rsidR="003B31E2">
        <w:rPr>
          <w:sz w:val="28"/>
          <w:szCs w:val="28"/>
        </w:rPr>
        <w:t xml:space="preserve"> treba</w:t>
      </w:r>
      <w:r w:rsidRPr="00F0732E">
        <w:rPr>
          <w:sz w:val="28"/>
          <w:szCs w:val="28"/>
        </w:rPr>
        <w:t xml:space="preserve"> opraviť stúpacie rozvody a fasádu ŠD Dobrovičova, opraviť fasádu a vymeniť okná ŠD Nikosa Belojanisa a iné. </w:t>
      </w:r>
    </w:p>
    <w:p w:rsidR="00B51749" w:rsidRPr="00F0732E" w:rsidRDefault="00B51749" w:rsidP="00B51749">
      <w:pPr>
        <w:rPr>
          <w:sz w:val="28"/>
          <w:szCs w:val="28"/>
        </w:rPr>
      </w:pPr>
      <w:r w:rsidRPr="00F0732E">
        <w:rPr>
          <w:sz w:val="28"/>
          <w:szCs w:val="28"/>
        </w:rPr>
        <w:t>Študentský domov Miloša Uhra v Trnave ako účelové zariadenie Materiálovotechnologickej fakulty STU mal v roku 2014 ubytovaciu kapacitu 1 260 lôžok, z toho 788 miest v starom objekte a 472 v novom objekte. Ubytovanie bolo poskytované v bunkovom systéme, v</w:t>
      </w:r>
      <w:r w:rsidR="003B31E2">
        <w:rPr>
          <w:sz w:val="28"/>
          <w:szCs w:val="28"/>
        </w:rPr>
        <w:t> </w:t>
      </w:r>
      <w:r w:rsidRPr="00F0732E">
        <w:rPr>
          <w:sz w:val="28"/>
          <w:szCs w:val="28"/>
        </w:rPr>
        <w:t>dvo</w:t>
      </w:r>
      <w:r w:rsidR="003B31E2">
        <w:rPr>
          <w:sz w:val="28"/>
          <w:szCs w:val="28"/>
        </w:rPr>
        <w:t>j-</w:t>
      </w:r>
      <w:r w:rsidRPr="00F0732E">
        <w:rPr>
          <w:sz w:val="28"/>
          <w:szCs w:val="28"/>
        </w:rPr>
        <w:t xml:space="preserve"> a trojposteľových izbách. S cieľom zvýšenia kvality ubytovacích priestorov pokračovali aj v roku 2014 rekonštrukčné práce – výmena okien na 3. poschodí bloku A, výmena žalúzií, stavebná oprava obkladačiek, podlahy, maliarske opravy, modernizácia a rozšírenie vnútornej počítačovej siete. </w:t>
      </w:r>
    </w:p>
    <w:p w:rsidR="00B51749" w:rsidRPr="00F0732E" w:rsidRDefault="00B51749" w:rsidP="00B51749">
      <w:pPr>
        <w:rPr>
          <w:sz w:val="28"/>
          <w:szCs w:val="28"/>
        </w:rPr>
      </w:pPr>
    </w:p>
    <w:p w:rsidR="00B51749" w:rsidRPr="00F0732E" w:rsidRDefault="00B51749" w:rsidP="00B51749">
      <w:pPr>
        <w:pStyle w:val="Nadpis2"/>
        <w:rPr>
          <w:rFonts w:ascii="Cambria" w:hAnsi="Cambria"/>
          <w:color w:val="auto"/>
        </w:rPr>
      </w:pPr>
      <w:bookmarkStart w:id="53" w:name="_Toc413009355"/>
      <w:r w:rsidRPr="00F0732E">
        <w:rPr>
          <w:rFonts w:ascii="Cambria" w:hAnsi="Cambria"/>
          <w:color w:val="auto"/>
        </w:rPr>
        <w:t>Stravovanie</w:t>
      </w:r>
      <w:bookmarkEnd w:id="53"/>
    </w:p>
    <w:p w:rsidR="00B51749" w:rsidRPr="00F0732E" w:rsidRDefault="00B51749" w:rsidP="00B51749">
      <w:pPr>
        <w:rPr>
          <w:color w:val="FF0000"/>
          <w:sz w:val="28"/>
          <w:szCs w:val="28"/>
          <w:lang w:eastAsia="cs-CZ"/>
        </w:rPr>
      </w:pPr>
    </w:p>
    <w:p w:rsidR="00B51749" w:rsidRPr="00F0732E" w:rsidRDefault="00B51749" w:rsidP="00B51749">
      <w:pPr>
        <w:rPr>
          <w:sz w:val="28"/>
          <w:szCs w:val="28"/>
        </w:rPr>
      </w:pPr>
      <w:r w:rsidRPr="00F0732E">
        <w:rPr>
          <w:sz w:val="28"/>
          <w:szCs w:val="28"/>
        </w:rPr>
        <w:t>Poskytovanie stravovania pre študentov a zamestnancov STU bolo zabezpečované:</w:t>
      </w:r>
    </w:p>
    <w:p w:rsidR="00B51749" w:rsidRPr="00F0732E" w:rsidRDefault="00B51749" w:rsidP="00B51749">
      <w:pPr>
        <w:numPr>
          <w:ilvl w:val="0"/>
          <w:numId w:val="5"/>
        </w:numPr>
        <w:tabs>
          <w:tab w:val="clear" w:pos="720"/>
          <w:tab w:val="num" w:pos="-3828"/>
        </w:tabs>
        <w:ind w:left="426"/>
        <w:rPr>
          <w:sz w:val="28"/>
          <w:szCs w:val="28"/>
        </w:rPr>
      </w:pPr>
      <w:r w:rsidRPr="00F0732E">
        <w:rPr>
          <w:sz w:val="28"/>
          <w:szCs w:val="28"/>
        </w:rPr>
        <w:t xml:space="preserve">vlastnými stravovacími zariadeniami Stravovacieho centra (ŠJ Jura Hronca, </w:t>
      </w:r>
      <w:r w:rsidR="003B31E2">
        <w:rPr>
          <w:sz w:val="28"/>
          <w:szCs w:val="28"/>
        </w:rPr>
        <w:t>ŠJ SvF, ŠJ Vazovova a ŠJ Mladá g</w:t>
      </w:r>
      <w:r w:rsidRPr="00F0732E">
        <w:rPr>
          <w:sz w:val="28"/>
          <w:szCs w:val="28"/>
        </w:rPr>
        <w:t>arda) a ŠJ Miloša Uhra s výdajňou  na ul. J. Bottu a v pavilóne „Z“ na Paulínskej ul.,</w:t>
      </w:r>
    </w:p>
    <w:p w:rsidR="00B51749" w:rsidRPr="00F0732E" w:rsidRDefault="00B51749" w:rsidP="00B51749">
      <w:pPr>
        <w:numPr>
          <w:ilvl w:val="0"/>
          <w:numId w:val="5"/>
        </w:numPr>
        <w:tabs>
          <w:tab w:val="clear" w:pos="720"/>
          <w:tab w:val="num" w:pos="-3828"/>
        </w:tabs>
        <w:ind w:left="426"/>
        <w:rPr>
          <w:sz w:val="28"/>
          <w:szCs w:val="28"/>
        </w:rPr>
      </w:pPr>
      <w:r w:rsidRPr="00F0732E">
        <w:rPr>
          <w:sz w:val="28"/>
          <w:szCs w:val="28"/>
        </w:rPr>
        <w:t>prostredníctvom prenajatých jedální na ŠD Dobrovičova, FEI a FCHPT.</w:t>
      </w:r>
    </w:p>
    <w:p w:rsidR="00B51749" w:rsidRPr="00F0732E" w:rsidRDefault="00B51749" w:rsidP="00B51749">
      <w:pPr>
        <w:rPr>
          <w:sz w:val="28"/>
          <w:szCs w:val="28"/>
          <w:u w:val="single"/>
        </w:rPr>
      </w:pPr>
      <w:r w:rsidRPr="00F0732E">
        <w:rPr>
          <w:sz w:val="28"/>
          <w:szCs w:val="28"/>
        </w:rPr>
        <w:t>ŠDaJ M. Uhra prevádzkuje bufet v </w:t>
      </w:r>
      <w:r w:rsidR="003B31E2">
        <w:rPr>
          <w:sz w:val="28"/>
          <w:szCs w:val="28"/>
        </w:rPr>
        <w:t xml:space="preserve">pavilóne „Z“ na Paulínskej ul. </w:t>
      </w:r>
      <w:r w:rsidRPr="00F0732E">
        <w:rPr>
          <w:sz w:val="28"/>
          <w:szCs w:val="28"/>
        </w:rPr>
        <w:t>a bufet v pavilóne</w:t>
      </w:r>
      <w:r w:rsidR="003B31E2">
        <w:rPr>
          <w:sz w:val="28"/>
          <w:szCs w:val="28"/>
        </w:rPr>
        <w:t xml:space="preserve"> „T“ na ul. </w:t>
      </w:r>
      <w:r w:rsidRPr="00F0732E">
        <w:rPr>
          <w:sz w:val="28"/>
          <w:szCs w:val="28"/>
        </w:rPr>
        <w:t>J. Bottu.</w:t>
      </w:r>
    </w:p>
    <w:p w:rsidR="00B51749" w:rsidRPr="00F0732E" w:rsidRDefault="00B51749" w:rsidP="00B51749">
      <w:pPr>
        <w:rPr>
          <w:sz w:val="28"/>
          <w:szCs w:val="28"/>
        </w:rPr>
      </w:pPr>
      <w:r w:rsidRPr="00F0732E">
        <w:rPr>
          <w:sz w:val="28"/>
          <w:szCs w:val="28"/>
        </w:rPr>
        <w:t xml:space="preserve">Príspevok štátu pre študenta bol počas celého roka 1,00 € na jedno jedlo, pričom študent má nárok na dve jedlá s príspevkom denne. </w:t>
      </w:r>
    </w:p>
    <w:p w:rsidR="00B51749" w:rsidRPr="00F0732E" w:rsidRDefault="00B51749" w:rsidP="00B51749">
      <w:pPr>
        <w:rPr>
          <w:sz w:val="28"/>
          <w:szCs w:val="28"/>
        </w:rPr>
      </w:pPr>
      <w:r w:rsidRPr="00F0732E">
        <w:rPr>
          <w:sz w:val="28"/>
          <w:szCs w:val="28"/>
        </w:rPr>
        <w:t>Počty podaných porcií podľa jednotlivých jedální za roky 2013 a 2014 sú uvedené v Tabuľke 8.6.</w:t>
      </w:r>
    </w:p>
    <w:p w:rsidR="00B51749" w:rsidRPr="00F0732E" w:rsidRDefault="00B51749" w:rsidP="00B51749">
      <w:pPr>
        <w:rPr>
          <w:b/>
          <w:sz w:val="28"/>
          <w:szCs w:val="28"/>
        </w:rPr>
      </w:pPr>
    </w:p>
    <w:p w:rsidR="00B51749" w:rsidRPr="00F0732E" w:rsidRDefault="00B51749" w:rsidP="00B51749">
      <w:pPr>
        <w:rPr>
          <w:sz w:val="20"/>
          <w:szCs w:val="20"/>
        </w:rPr>
      </w:pPr>
      <w:r w:rsidRPr="00F0732E">
        <w:rPr>
          <w:b/>
          <w:sz w:val="28"/>
          <w:szCs w:val="28"/>
        </w:rPr>
        <w:t>Tab. 8.6: Počty vydaných porcií jedální STU v rokoch 2013 a 2014</w:t>
      </w:r>
      <w:r w:rsidRPr="00F0732E">
        <w:rPr>
          <w:sz w:val="20"/>
          <w:szCs w:val="20"/>
        </w:rPr>
        <w:t xml:space="preserve"> </w:t>
      </w:r>
    </w:p>
    <w:tbl>
      <w:tblPr>
        <w:tblW w:w="9328" w:type="dxa"/>
        <w:tblInd w:w="-68" w:type="dxa"/>
        <w:tblCellMar>
          <w:left w:w="70" w:type="dxa"/>
          <w:right w:w="70" w:type="dxa"/>
        </w:tblCellMar>
        <w:tblLook w:val="00A0" w:firstRow="1" w:lastRow="0" w:firstColumn="1" w:lastColumn="0" w:noHBand="0" w:noVBand="0"/>
      </w:tblPr>
      <w:tblGrid>
        <w:gridCol w:w="1433"/>
        <w:gridCol w:w="992"/>
        <w:gridCol w:w="1315"/>
        <w:gridCol w:w="790"/>
        <w:gridCol w:w="850"/>
        <w:gridCol w:w="992"/>
        <w:gridCol w:w="1315"/>
        <w:gridCol w:w="815"/>
        <w:gridCol w:w="826"/>
      </w:tblGrid>
      <w:tr w:rsidR="00B51749" w:rsidRPr="00F0732E" w:rsidTr="00447572">
        <w:trPr>
          <w:trHeight w:val="420"/>
        </w:trPr>
        <w:tc>
          <w:tcPr>
            <w:tcW w:w="1433"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rPr>
                <w:rFonts w:cs="Calibri"/>
                <w:b/>
                <w:bCs/>
                <w:sz w:val="20"/>
                <w:szCs w:val="20"/>
                <w:lang w:eastAsia="sk-SK"/>
              </w:rPr>
            </w:pPr>
            <w:r w:rsidRPr="00F0732E">
              <w:rPr>
                <w:b/>
                <w:bCs/>
                <w:sz w:val="20"/>
                <w:szCs w:val="20"/>
                <w:lang w:eastAsia="sk-SK"/>
              </w:rPr>
              <w:t>Študentská jedáleň</w:t>
            </w:r>
          </w:p>
        </w:tc>
        <w:tc>
          <w:tcPr>
            <w:tcW w:w="3947"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Rok 2013 - počet jedál</w:t>
            </w:r>
          </w:p>
        </w:tc>
        <w:tc>
          <w:tcPr>
            <w:tcW w:w="3948" w:type="dxa"/>
            <w:gridSpan w:val="4"/>
            <w:tcBorders>
              <w:top w:val="single" w:sz="8" w:space="0" w:color="auto"/>
              <w:left w:val="single" w:sz="4" w:space="0" w:color="auto"/>
              <w:bottom w:val="single" w:sz="4" w:space="0" w:color="auto"/>
              <w:right w:val="single" w:sz="8" w:space="0" w:color="000000"/>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 xml:space="preserve">Rok 2014 - počet jedál </w:t>
            </w:r>
          </w:p>
        </w:tc>
      </w:tr>
      <w:tr w:rsidR="00B51749" w:rsidRPr="00F0732E" w:rsidTr="00447572">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749" w:rsidRPr="00F0732E" w:rsidRDefault="00B51749" w:rsidP="00447572">
            <w:pPr>
              <w:rPr>
                <w:rFonts w:cs="Calibri"/>
                <w:b/>
                <w:bCs/>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Študenti</w:t>
            </w:r>
          </w:p>
        </w:tc>
        <w:tc>
          <w:tcPr>
            <w:tcW w:w="131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Zamestnanci</w:t>
            </w:r>
          </w:p>
        </w:tc>
        <w:tc>
          <w:tcPr>
            <w:tcW w:w="790" w:type="dxa"/>
            <w:tcBorders>
              <w:top w:val="nil"/>
              <w:left w:val="nil"/>
              <w:bottom w:val="single" w:sz="8"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Cudzí</w:t>
            </w:r>
          </w:p>
        </w:tc>
        <w:tc>
          <w:tcPr>
            <w:tcW w:w="850" w:type="dxa"/>
            <w:tcBorders>
              <w:top w:val="nil"/>
              <w:left w:val="nil"/>
              <w:bottom w:val="single" w:sz="8"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Spolu</w:t>
            </w:r>
          </w:p>
        </w:tc>
        <w:tc>
          <w:tcPr>
            <w:tcW w:w="992" w:type="dxa"/>
            <w:tcBorders>
              <w:top w:val="nil"/>
              <w:left w:val="nil"/>
              <w:bottom w:val="single" w:sz="8"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Študenti</w:t>
            </w:r>
          </w:p>
        </w:tc>
        <w:tc>
          <w:tcPr>
            <w:tcW w:w="1315" w:type="dxa"/>
            <w:tcBorders>
              <w:top w:val="nil"/>
              <w:left w:val="nil"/>
              <w:bottom w:val="single" w:sz="8"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Zamestnanci</w:t>
            </w:r>
          </w:p>
        </w:tc>
        <w:tc>
          <w:tcPr>
            <w:tcW w:w="815" w:type="dxa"/>
            <w:tcBorders>
              <w:top w:val="nil"/>
              <w:left w:val="nil"/>
              <w:bottom w:val="single" w:sz="8" w:space="0" w:color="auto"/>
              <w:right w:val="single" w:sz="4"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Cudzí</w:t>
            </w:r>
          </w:p>
        </w:tc>
        <w:tc>
          <w:tcPr>
            <w:tcW w:w="826" w:type="dxa"/>
            <w:tcBorders>
              <w:top w:val="nil"/>
              <w:left w:val="nil"/>
              <w:bottom w:val="single" w:sz="8" w:space="0" w:color="auto"/>
              <w:right w:val="single" w:sz="8" w:space="0" w:color="auto"/>
            </w:tcBorders>
            <w:shd w:val="clear" w:color="auto" w:fill="C0C0C0"/>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Spolu</w:t>
            </w:r>
          </w:p>
        </w:tc>
      </w:tr>
      <w:tr w:rsidR="00B51749" w:rsidRPr="00F0732E" w:rsidTr="00447572">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rPr>
                <w:rFonts w:cs="Calibri"/>
                <w:sz w:val="20"/>
                <w:szCs w:val="20"/>
                <w:lang w:eastAsia="sk-SK"/>
              </w:rPr>
            </w:pPr>
            <w:r w:rsidRPr="00F0732E">
              <w:rPr>
                <w:sz w:val="20"/>
                <w:szCs w:val="20"/>
                <w:lang w:eastAsia="sk-SK"/>
              </w:rPr>
              <w:t>Strav. centrum</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268 183</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49 955</w:t>
            </w:r>
          </w:p>
        </w:tc>
        <w:tc>
          <w:tcPr>
            <w:tcW w:w="79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9 286</w:t>
            </w:r>
          </w:p>
        </w:tc>
        <w:tc>
          <w:tcPr>
            <w:tcW w:w="85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327 424</w:t>
            </w:r>
          </w:p>
        </w:tc>
        <w:tc>
          <w:tcPr>
            <w:tcW w:w="992"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347 767</w:t>
            </w:r>
          </w:p>
        </w:tc>
        <w:tc>
          <w:tcPr>
            <w:tcW w:w="13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62 205</w:t>
            </w:r>
          </w:p>
        </w:tc>
        <w:tc>
          <w:tcPr>
            <w:tcW w:w="8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9 670</w:t>
            </w:r>
          </w:p>
        </w:tc>
        <w:tc>
          <w:tcPr>
            <w:tcW w:w="826" w:type="dxa"/>
            <w:tcBorders>
              <w:top w:val="nil"/>
              <w:left w:val="nil"/>
              <w:bottom w:val="single" w:sz="4" w:space="0" w:color="auto"/>
              <w:right w:val="single" w:sz="8"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419 642</w:t>
            </w:r>
          </w:p>
        </w:tc>
      </w:tr>
      <w:tr w:rsidR="00B51749" w:rsidRPr="00F0732E" w:rsidTr="00447572">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rPr>
                <w:rFonts w:cs="Calibri"/>
                <w:sz w:val="20"/>
                <w:szCs w:val="20"/>
                <w:lang w:eastAsia="sk-SK"/>
              </w:rPr>
            </w:pPr>
            <w:r w:rsidRPr="00F0732E">
              <w:rPr>
                <w:sz w:val="20"/>
                <w:szCs w:val="20"/>
                <w:lang w:eastAsia="sk-SK"/>
              </w:rPr>
              <w:t>FEI</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3 016</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31 316</w:t>
            </w:r>
          </w:p>
        </w:tc>
        <w:tc>
          <w:tcPr>
            <w:tcW w:w="79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247</w:t>
            </w:r>
          </w:p>
        </w:tc>
        <w:tc>
          <w:tcPr>
            <w:tcW w:w="85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34 579</w:t>
            </w:r>
          </w:p>
        </w:tc>
        <w:tc>
          <w:tcPr>
            <w:tcW w:w="992"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10 884</w:t>
            </w:r>
          </w:p>
        </w:tc>
        <w:tc>
          <w:tcPr>
            <w:tcW w:w="13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36 290</w:t>
            </w:r>
          </w:p>
        </w:tc>
        <w:tc>
          <w:tcPr>
            <w:tcW w:w="8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415</w:t>
            </w:r>
          </w:p>
        </w:tc>
        <w:tc>
          <w:tcPr>
            <w:tcW w:w="826" w:type="dxa"/>
            <w:tcBorders>
              <w:top w:val="nil"/>
              <w:left w:val="nil"/>
              <w:bottom w:val="single" w:sz="4" w:space="0" w:color="auto"/>
              <w:right w:val="single" w:sz="8"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47 589</w:t>
            </w:r>
          </w:p>
        </w:tc>
      </w:tr>
      <w:tr w:rsidR="00B51749" w:rsidRPr="00F0732E" w:rsidTr="00447572">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rPr>
                <w:rFonts w:cs="Calibri"/>
                <w:sz w:val="20"/>
                <w:szCs w:val="20"/>
                <w:lang w:eastAsia="sk-SK"/>
              </w:rPr>
            </w:pPr>
            <w:r w:rsidRPr="00F0732E">
              <w:rPr>
                <w:sz w:val="20"/>
                <w:szCs w:val="20"/>
                <w:lang w:eastAsia="sk-SK"/>
              </w:rPr>
              <w:t>FCHPT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8 688</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100 345</w:t>
            </w:r>
          </w:p>
        </w:tc>
        <w:tc>
          <w:tcPr>
            <w:tcW w:w="79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2 383</w:t>
            </w:r>
          </w:p>
        </w:tc>
        <w:tc>
          <w:tcPr>
            <w:tcW w:w="85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111 416</w:t>
            </w:r>
          </w:p>
        </w:tc>
        <w:tc>
          <w:tcPr>
            <w:tcW w:w="992"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6 062</w:t>
            </w:r>
          </w:p>
        </w:tc>
        <w:tc>
          <w:tcPr>
            <w:tcW w:w="13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91 588</w:t>
            </w:r>
          </w:p>
        </w:tc>
        <w:tc>
          <w:tcPr>
            <w:tcW w:w="8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2 569</w:t>
            </w:r>
          </w:p>
        </w:tc>
        <w:tc>
          <w:tcPr>
            <w:tcW w:w="826" w:type="dxa"/>
            <w:tcBorders>
              <w:top w:val="nil"/>
              <w:left w:val="nil"/>
              <w:bottom w:val="single" w:sz="4" w:space="0" w:color="auto"/>
              <w:right w:val="single" w:sz="8"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 xml:space="preserve">100 </w:t>
            </w:r>
            <w:r w:rsidRPr="00F0732E">
              <w:rPr>
                <w:sz w:val="20"/>
                <w:szCs w:val="20"/>
                <w:lang w:eastAsia="sk-SK"/>
              </w:rPr>
              <w:lastRenderedPageBreak/>
              <w:t>219</w:t>
            </w:r>
          </w:p>
        </w:tc>
      </w:tr>
      <w:tr w:rsidR="00B51749" w:rsidRPr="00F0732E" w:rsidTr="00447572">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51749" w:rsidRPr="00F0732E" w:rsidRDefault="00B51749" w:rsidP="00447572">
            <w:pPr>
              <w:rPr>
                <w:rFonts w:cs="Calibri"/>
                <w:sz w:val="20"/>
                <w:szCs w:val="20"/>
                <w:lang w:eastAsia="sk-SK"/>
              </w:rPr>
            </w:pPr>
            <w:r w:rsidRPr="00F0732E">
              <w:rPr>
                <w:sz w:val="20"/>
                <w:szCs w:val="20"/>
                <w:lang w:eastAsia="sk-SK"/>
              </w:rPr>
              <w:lastRenderedPageBreak/>
              <w:t>Dobrovičova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38 750</w:t>
            </w:r>
          </w:p>
        </w:tc>
        <w:tc>
          <w:tcPr>
            <w:tcW w:w="1315" w:type="dxa"/>
            <w:tcBorders>
              <w:top w:val="single" w:sz="4" w:space="0" w:color="auto"/>
              <w:left w:val="single" w:sz="4" w:space="0" w:color="auto"/>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823</w:t>
            </w:r>
          </w:p>
        </w:tc>
        <w:tc>
          <w:tcPr>
            <w:tcW w:w="79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0</w:t>
            </w:r>
          </w:p>
        </w:tc>
        <w:tc>
          <w:tcPr>
            <w:tcW w:w="850"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39 573</w:t>
            </w:r>
          </w:p>
        </w:tc>
        <w:tc>
          <w:tcPr>
            <w:tcW w:w="992"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27 095</w:t>
            </w:r>
          </w:p>
        </w:tc>
        <w:tc>
          <w:tcPr>
            <w:tcW w:w="13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1 111</w:t>
            </w:r>
          </w:p>
        </w:tc>
        <w:tc>
          <w:tcPr>
            <w:tcW w:w="815" w:type="dxa"/>
            <w:tcBorders>
              <w:top w:val="nil"/>
              <w:left w:val="nil"/>
              <w:bottom w:val="single" w:sz="4" w:space="0" w:color="auto"/>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6</w:t>
            </w:r>
          </w:p>
        </w:tc>
        <w:tc>
          <w:tcPr>
            <w:tcW w:w="826" w:type="dxa"/>
            <w:tcBorders>
              <w:top w:val="nil"/>
              <w:left w:val="nil"/>
              <w:bottom w:val="single" w:sz="4" w:space="0" w:color="auto"/>
              <w:right w:val="single" w:sz="8"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28 212</w:t>
            </w:r>
          </w:p>
        </w:tc>
      </w:tr>
      <w:tr w:rsidR="00B51749" w:rsidRPr="00F0732E" w:rsidTr="00447572">
        <w:trPr>
          <w:trHeight w:val="285"/>
        </w:trPr>
        <w:tc>
          <w:tcPr>
            <w:tcW w:w="1433" w:type="dxa"/>
            <w:tcBorders>
              <w:top w:val="single" w:sz="4" w:space="0" w:color="auto"/>
              <w:left w:val="single" w:sz="8" w:space="0" w:color="auto"/>
              <w:bottom w:val="nil"/>
              <w:right w:val="single" w:sz="8" w:space="0" w:color="000000"/>
            </w:tcBorders>
            <w:shd w:val="clear" w:color="auto" w:fill="FFFFFF"/>
            <w:noWrap/>
            <w:vAlign w:val="bottom"/>
            <w:hideMark/>
          </w:tcPr>
          <w:p w:rsidR="00B51749" w:rsidRPr="00F0732E" w:rsidRDefault="00B51749" w:rsidP="00447572">
            <w:pPr>
              <w:rPr>
                <w:rFonts w:cs="Calibri"/>
                <w:sz w:val="20"/>
                <w:szCs w:val="20"/>
                <w:lang w:eastAsia="sk-SK"/>
              </w:rPr>
            </w:pPr>
            <w:r w:rsidRPr="00F0732E">
              <w:rPr>
                <w:sz w:val="20"/>
                <w:szCs w:val="20"/>
                <w:lang w:eastAsia="sk-SK"/>
              </w:rPr>
              <w:t>MTF</w:t>
            </w:r>
          </w:p>
        </w:tc>
        <w:tc>
          <w:tcPr>
            <w:tcW w:w="992" w:type="dxa"/>
            <w:tcBorders>
              <w:top w:val="single" w:sz="4" w:space="0" w:color="auto"/>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19 243</w:t>
            </w:r>
          </w:p>
        </w:tc>
        <w:tc>
          <w:tcPr>
            <w:tcW w:w="1315" w:type="dxa"/>
            <w:tcBorders>
              <w:top w:val="single" w:sz="4" w:space="0" w:color="auto"/>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35 574</w:t>
            </w:r>
          </w:p>
        </w:tc>
        <w:tc>
          <w:tcPr>
            <w:tcW w:w="790" w:type="dxa"/>
            <w:tcBorders>
              <w:top w:val="single" w:sz="4" w:space="0" w:color="auto"/>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6 097</w:t>
            </w:r>
          </w:p>
        </w:tc>
        <w:tc>
          <w:tcPr>
            <w:tcW w:w="850" w:type="dxa"/>
            <w:tcBorders>
              <w:top w:val="nil"/>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60 914</w:t>
            </w:r>
          </w:p>
        </w:tc>
        <w:tc>
          <w:tcPr>
            <w:tcW w:w="992" w:type="dxa"/>
            <w:tcBorders>
              <w:top w:val="nil"/>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32 749</w:t>
            </w:r>
          </w:p>
        </w:tc>
        <w:tc>
          <w:tcPr>
            <w:tcW w:w="1315" w:type="dxa"/>
            <w:tcBorders>
              <w:top w:val="nil"/>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35 024</w:t>
            </w:r>
          </w:p>
        </w:tc>
        <w:tc>
          <w:tcPr>
            <w:tcW w:w="815" w:type="dxa"/>
            <w:tcBorders>
              <w:top w:val="nil"/>
              <w:left w:val="nil"/>
              <w:bottom w:val="nil"/>
              <w:right w:val="single" w:sz="4"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7 419</w:t>
            </w:r>
          </w:p>
        </w:tc>
        <w:tc>
          <w:tcPr>
            <w:tcW w:w="826" w:type="dxa"/>
            <w:tcBorders>
              <w:top w:val="nil"/>
              <w:left w:val="nil"/>
              <w:bottom w:val="nil"/>
              <w:right w:val="single" w:sz="8" w:space="0" w:color="auto"/>
            </w:tcBorders>
            <w:noWrap/>
            <w:vAlign w:val="bottom"/>
            <w:hideMark/>
          </w:tcPr>
          <w:p w:rsidR="00B51749" w:rsidRPr="00F0732E" w:rsidRDefault="00B51749" w:rsidP="00447572">
            <w:pPr>
              <w:jc w:val="center"/>
              <w:rPr>
                <w:rFonts w:cs="Calibri"/>
                <w:sz w:val="20"/>
                <w:szCs w:val="20"/>
                <w:lang w:eastAsia="sk-SK"/>
              </w:rPr>
            </w:pPr>
            <w:r w:rsidRPr="00F0732E">
              <w:rPr>
                <w:sz w:val="20"/>
                <w:szCs w:val="20"/>
                <w:lang w:eastAsia="sk-SK"/>
              </w:rPr>
              <w:t>75 192</w:t>
            </w:r>
          </w:p>
        </w:tc>
      </w:tr>
      <w:tr w:rsidR="00B51749" w:rsidRPr="00F0732E" w:rsidTr="00447572">
        <w:trPr>
          <w:trHeight w:val="420"/>
        </w:trPr>
        <w:tc>
          <w:tcPr>
            <w:tcW w:w="1433"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B51749" w:rsidRPr="00F0732E" w:rsidRDefault="00B51749" w:rsidP="00447572">
            <w:pPr>
              <w:rPr>
                <w:rFonts w:cs="Calibri"/>
                <w:b/>
                <w:bCs/>
                <w:sz w:val="20"/>
                <w:szCs w:val="20"/>
                <w:lang w:eastAsia="sk-SK"/>
              </w:rPr>
            </w:pPr>
            <w:r w:rsidRPr="00F0732E">
              <w:rPr>
                <w:b/>
                <w:bCs/>
                <w:sz w:val="20"/>
                <w:szCs w:val="20"/>
                <w:lang w:eastAsia="sk-SK"/>
              </w:rPr>
              <w:t>Spolu</w:t>
            </w:r>
          </w:p>
        </w:tc>
        <w:tc>
          <w:tcPr>
            <w:tcW w:w="992"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337 880</w:t>
            </w:r>
          </w:p>
        </w:tc>
        <w:tc>
          <w:tcPr>
            <w:tcW w:w="1315"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218 013</w:t>
            </w:r>
          </w:p>
        </w:tc>
        <w:tc>
          <w:tcPr>
            <w:tcW w:w="790"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18 013</w:t>
            </w:r>
          </w:p>
        </w:tc>
        <w:tc>
          <w:tcPr>
            <w:tcW w:w="850"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573 906</w:t>
            </w:r>
          </w:p>
        </w:tc>
        <w:tc>
          <w:tcPr>
            <w:tcW w:w="992"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424 557</w:t>
            </w:r>
          </w:p>
        </w:tc>
        <w:tc>
          <w:tcPr>
            <w:tcW w:w="1315"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226 218</w:t>
            </w:r>
          </w:p>
        </w:tc>
        <w:tc>
          <w:tcPr>
            <w:tcW w:w="815" w:type="dxa"/>
            <w:tcBorders>
              <w:top w:val="single" w:sz="8" w:space="0" w:color="auto"/>
              <w:left w:val="nil"/>
              <w:bottom w:val="single" w:sz="8" w:space="0" w:color="auto"/>
              <w:right w:val="single" w:sz="4"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20 079</w:t>
            </w:r>
          </w:p>
        </w:tc>
        <w:tc>
          <w:tcPr>
            <w:tcW w:w="826" w:type="dxa"/>
            <w:tcBorders>
              <w:top w:val="single" w:sz="8" w:space="0" w:color="auto"/>
              <w:left w:val="nil"/>
              <w:bottom w:val="single" w:sz="8" w:space="0" w:color="auto"/>
              <w:right w:val="single" w:sz="8" w:space="0" w:color="auto"/>
            </w:tcBorders>
            <w:shd w:val="clear" w:color="auto" w:fill="FFFFFF"/>
            <w:noWrap/>
            <w:vAlign w:val="bottom"/>
            <w:hideMark/>
          </w:tcPr>
          <w:p w:rsidR="00B51749" w:rsidRPr="00F0732E" w:rsidRDefault="00B51749" w:rsidP="00447572">
            <w:pPr>
              <w:jc w:val="center"/>
              <w:rPr>
                <w:rFonts w:cs="Calibri"/>
                <w:b/>
                <w:bCs/>
                <w:sz w:val="20"/>
                <w:szCs w:val="20"/>
                <w:lang w:eastAsia="sk-SK"/>
              </w:rPr>
            </w:pPr>
            <w:r w:rsidRPr="00F0732E">
              <w:rPr>
                <w:b/>
                <w:bCs/>
                <w:sz w:val="20"/>
                <w:szCs w:val="20"/>
                <w:lang w:eastAsia="sk-SK"/>
              </w:rPr>
              <w:t>670 854</w:t>
            </w:r>
          </w:p>
        </w:tc>
      </w:tr>
    </w:tbl>
    <w:p w:rsidR="00B51749" w:rsidRPr="00F0732E" w:rsidRDefault="00B51749" w:rsidP="00B51749">
      <w:pPr>
        <w:rPr>
          <w:b/>
          <w:sz w:val="28"/>
          <w:szCs w:val="28"/>
        </w:rPr>
      </w:pPr>
    </w:p>
    <w:p w:rsidR="00B51749" w:rsidRPr="00F0732E" w:rsidRDefault="00B51749" w:rsidP="00B51749">
      <w:pPr>
        <w:pStyle w:val="Nadpis2"/>
        <w:rPr>
          <w:rFonts w:ascii="Cambria" w:hAnsi="Cambria"/>
          <w:color w:val="auto"/>
        </w:rPr>
      </w:pPr>
      <w:bookmarkStart w:id="54" w:name="_Toc413009356"/>
      <w:r w:rsidRPr="00F0732E">
        <w:rPr>
          <w:rFonts w:ascii="Cambria" w:hAnsi="Cambria"/>
          <w:color w:val="auto"/>
        </w:rPr>
        <w:t>Študentské organizácie</w:t>
      </w:r>
      <w:bookmarkEnd w:id="54"/>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rPr>
      </w:pPr>
      <w:r w:rsidRPr="00F0732E">
        <w:rPr>
          <w:rFonts w:cs="Calibri"/>
          <w:sz w:val="28"/>
          <w:szCs w:val="28"/>
        </w:rPr>
        <w:t>Na STU pôsobí viacero študentských organizácií. Ich úlohou je organizovať voľnočasové aktivity študentov, rozvíjať osobnosť študentov v oblasti športu a</w:t>
      </w:r>
      <w:r w:rsidR="003B31E2">
        <w:rPr>
          <w:rFonts w:cs="Calibri"/>
          <w:sz w:val="28"/>
          <w:szCs w:val="28"/>
        </w:rPr>
        <w:t> </w:t>
      </w:r>
      <w:r w:rsidRPr="00F0732E">
        <w:rPr>
          <w:rFonts w:cs="Calibri"/>
          <w:sz w:val="28"/>
          <w:szCs w:val="28"/>
        </w:rPr>
        <w:t>kultúry</w:t>
      </w:r>
      <w:r w:rsidR="003B31E2">
        <w:rPr>
          <w:rFonts w:cs="Calibri"/>
          <w:sz w:val="28"/>
          <w:szCs w:val="28"/>
        </w:rPr>
        <w:t>,</w:t>
      </w:r>
      <w:r w:rsidRPr="00F0732E">
        <w:rPr>
          <w:rFonts w:cs="Calibri"/>
          <w:sz w:val="28"/>
          <w:szCs w:val="28"/>
        </w:rPr>
        <w:t xml:space="preserve"> ako aj prispievať k ich odbornému rastu. Organizácie sa podieľajú aj na medzinárodných či domácich mobilitách študentov, doučovaní mladších kolegov</w:t>
      </w:r>
      <w:r w:rsidR="003B31E2">
        <w:rPr>
          <w:rFonts w:cs="Calibri"/>
          <w:sz w:val="28"/>
          <w:szCs w:val="28"/>
        </w:rPr>
        <w:t>,</w:t>
      </w:r>
      <w:r w:rsidRPr="00F0732E">
        <w:rPr>
          <w:rFonts w:cs="Calibri"/>
          <w:sz w:val="28"/>
          <w:szCs w:val="28"/>
        </w:rPr>
        <w:t xml:space="preserve"> a tiež na humánne orientovaných akciách</w:t>
      </w:r>
      <w:r w:rsidR="003B31E2">
        <w:rPr>
          <w:rFonts w:cs="Calibri"/>
          <w:sz w:val="28"/>
          <w:szCs w:val="28"/>
        </w:rPr>
        <w:t>,</w:t>
      </w:r>
      <w:r w:rsidRPr="00F0732E">
        <w:rPr>
          <w:rFonts w:cs="Calibri"/>
          <w:sz w:val="28"/>
          <w:szCs w:val="28"/>
        </w:rPr>
        <w:t xml:space="preserve"> ako je napr. darcovstvo krvi. </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b/>
          <w:sz w:val="28"/>
          <w:szCs w:val="28"/>
        </w:rPr>
        <w:t>Zoznam študentských organizácií STU v roku 2013/2014</w:t>
      </w:r>
      <w:r w:rsidRPr="00F0732E">
        <w:rPr>
          <w:rFonts w:cs="Calibri"/>
          <w:sz w:val="28"/>
          <w:szCs w:val="28"/>
        </w:rPr>
        <w:t>:</w:t>
      </w:r>
    </w:p>
    <w:tbl>
      <w:tblPr>
        <w:tblW w:w="9356" w:type="dxa"/>
        <w:tblInd w:w="108" w:type="dxa"/>
        <w:tblLook w:val="04A0" w:firstRow="1" w:lastRow="0" w:firstColumn="1" w:lastColumn="0" w:noHBand="0" w:noVBand="1"/>
      </w:tblPr>
      <w:tblGrid>
        <w:gridCol w:w="4643"/>
        <w:gridCol w:w="4713"/>
      </w:tblGrid>
      <w:tr w:rsidR="00B51749" w:rsidRPr="00F0732E" w:rsidTr="00447572">
        <w:tc>
          <w:tcPr>
            <w:tcW w:w="4643" w:type="dxa"/>
            <w:tcBorders>
              <w:top w:val="single" w:sz="4" w:space="0" w:color="auto"/>
              <w:left w:val="single" w:sz="4" w:space="0" w:color="auto"/>
              <w:bottom w:val="single" w:sz="4" w:space="0" w:color="auto"/>
              <w:right w:val="single" w:sz="4" w:space="0" w:color="auto"/>
            </w:tcBorders>
            <w:hideMark/>
          </w:tcPr>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 xml:space="preserve">Študentský cech chemikov </w:t>
            </w:r>
            <w:r w:rsidR="003B31E2">
              <w:rPr>
                <w:rFonts w:ascii="Cambria" w:hAnsi="Cambria" w:cs="Arial"/>
                <w:bCs/>
                <w:sz w:val="28"/>
                <w:szCs w:val="28"/>
              </w:rPr>
              <w:t>–</w:t>
            </w:r>
            <w:r w:rsidRPr="00F0732E">
              <w:rPr>
                <w:rFonts w:ascii="Cambria" w:hAnsi="Cambria" w:cs="Arial"/>
                <w:bCs/>
                <w:sz w:val="28"/>
                <w:szCs w:val="28"/>
              </w:rPr>
              <w:t xml:space="preserve"> Študentský parlament FCHPT</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Študentský parlament Elektrikárov a Informatikov</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Študentský parlament Fakulty architektúry</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Študentský parlament MTF</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Študentský parlament Ústavu manažmentu</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Študentský cech strojárov</w:t>
            </w:r>
          </w:p>
          <w:p w:rsidR="00B51749" w:rsidRPr="00F0732E" w:rsidRDefault="00B51749" w:rsidP="00447572">
            <w:pPr>
              <w:pStyle w:val="Odsekzoznamu"/>
              <w:numPr>
                <w:ilvl w:val="0"/>
                <w:numId w:val="6"/>
              </w:numPr>
              <w:shd w:val="clear" w:color="auto" w:fill="FFFFFF"/>
              <w:spacing w:after="0" w:line="240" w:lineRule="auto"/>
              <w:ind w:left="426"/>
              <w:jc w:val="left"/>
              <w:rPr>
                <w:rFonts w:ascii="Cambria" w:hAnsi="Cambria" w:cs="Arial"/>
                <w:sz w:val="28"/>
                <w:szCs w:val="28"/>
              </w:rPr>
            </w:pPr>
            <w:r w:rsidRPr="00F0732E">
              <w:rPr>
                <w:rFonts w:ascii="Cambria" w:hAnsi="Cambria" w:cs="Arial"/>
                <w:bCs/>
                <w:sz w:val="28"/>
                <w:szCs w:val="28"/>
              </w:rPr>
              <w:t>Združenie študentov Stavebnej fakulty</w:t>
            </w:r>
          </w:p>
          <w:p w:rsidR="00B51749" w:rsidRPr="00F0732E" w:rsidRDefault="00B51749" w:rsidP="003B31E2">
            <w:pPr>
              <w:pStyle w:val="Odsekzoznamu"/>
              <w:numPr>
                <w:ilvl w:val="0"/>
                <w:numId w:val="6"/>
              </w:numPr>
              <w:shd w:val="clear" w:color="auto" w:fill="FFFFFF"/>
              <w:spacing w:after="0" w:line="240" w:lineRule="auto"/>
              <w:ind w:left="426"/>
              <w:jc w:val="left"/>
              <w:rPr>
                <w:rFonts w:ascii="Cambria" w:hAnsi="Cambria" w:cs="Arial"/>
                <w:bCs/>
                <w:sz w:val="28"/>
                <w:szCs w:val="28"/>
              </w:rPr>
            </w:pPr>
            <w:r w:rsidRPr="00F0732E">
              <w:rPr>
                <w:rFonts w:ascii="Cambria" w:hAnsi="Cambria" w:cs="Arial"/>
                <w:bCs/>
                <w:sz w:val="28"/>
                <w:szCs w:val="28"/>
              </w:rPr>
              <w:t xml:space="preserve">BEST </w:t>
            </w:r>
            <w:r w:rsidR="003B31E2">
              <w:rPr>
                <w:rFonts w:ascii="Cambria" w:hAnsi="Cambria" w:cs="Arial"/>
                <w:bCs/>
                <w:sz w:val="28"/>
                <w:szCs w:val="28"/>
              </w:rPr>
              <w:t>–</w:t>
            </w:r>
            <w:r w:rsidRPr="00F0732E">
              <w:rPr>
                <w:rFonts w:ascii="Cambria" w:hAnsi="Cambria" w:cs="Arial"/>
                <w:bCs/>
                <w:sz w:val="28"/>
                <w:szCs w:val="28"/>
              </w:rPr>
              <w:t xml:space="preserve"> Board of European Students of Technology </w:t>
            </w:r>
          </w:p>
        </w:tc>
        <w:tc>
          <w:tcPr>
            <w:tcW w:w="4713" w:type="dxa"/>
            <w:tcBorders>
              <w:top w:val="single" w:sz="4" w:space="0" w:color="auto"/>
              <w:left w:val="single" w:sz="4" w:space="0" w:color="auto"/>
              <w:bottom w:val="single" w:sz="4" w:space="0" w:color="auto"/>
              <w:right w:val="single" w:sz="4" w:space="0" w:color="auto"/>
            </w:tcBorders>
            <w:hideMark/>
          </w:tcPr>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 xml:space="preserve">IAESTE </w:t>
            </w:r>
            <w:r w:rsidR="003B31E2">
              <w:rPr>
                <w:rFonts w:ascii="Cambria" w:hAnsi="Cambria" w:cs="Arial"/>
                <w:bCs/>
                <w:sz w:val="28"/>
                <w:szCs w:val="28"/>
              </w:rPr>
              <w:t>–</w:t>
            </w:r>
            <w:r w:rsidRPr="00F0732E">
              <w:rPr>
                <w:rFonts w:ascii="Cambria" w:hAnsi="Cambria" w:cs="Arial"/>
                <w:bCs/>
                <w:sz w:val="28"/>
                <w:szCs w:val="28"/>
              </w:rPr>
              <w:t xml:space="preserve"> The International Association for the Exchange of Students for Technical Experience</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klub Elam</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Chemnet</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internátne rozhlasové štúdio TLIS</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televízia MMC STU</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 xml:space="preserve">Omega </w:t>
            </w:r>
            <w:r w:rsidR="003B31E2">
              <w:rPr>
                <w:rFonts w:ascii="Cambria" w:hAnsi="Cambria" w:cs="Arial"/>
                <w:bCs/>
                <w:sz w:val="28"/>
                <w:szCs w:val="28"/>
              </w:rPr>
              <w:t>–</w:t>
            </w:r>
            <w:r w:rsidRPr="00F0732E">
              <w:rPr>
                <w:rFonts w:ascii="Cambria" w:hAnsi="Cambria" w:cs="Arial"/>
                <w:bCs/>
                <w:sz w:val="28"/>
                <w:szCs w:val="28"/>
              </w:rPr>
              <w:t xml:space="preserve"> Rádio klub Slovenskej technickej univerzity v Bratislave</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AM Team – študentská formula</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STUBA Green Team – študentská formula</w:t>
            </w:r>
          </w:p>
          <w:p w:rsidR="00B51749" w:rsidRPr="00F0732E" w:rsidRDefault="00B51749" w:rsidP="00447572">
            <w:pPr>
              <w:pStyle w:val="Odsekzoznamu"/>
              <w:numPr>
                <w:ilvl w:val="0"/>
                <w:numId w:val="6"/>
              </w:numPr>
              <w:shd w:val="clear" w:color="auto" w:fill="FFFFFF"/>
              <w:spacing w:after="0" w:line="240" w:lineRule="auto"/>
              <w:ind w:left="356"/>
              <w:jc w:val="left"/>
              <w:rPr>
                <w:rFonts w:ascii="Cambria" w:hAnsi="Cambria" w:cs="Arial"/>
                <w:sz w:val="28"/>
                <w:szCs w:val="28"/>
              </w:rPr>
            </w:pPr>
            <w:r w:rsidRPr="00F0732E">
              <w:rPr>
                <w:rFonts w:ascii="Cambria" w:hAnsi="Cambria" w:cs="Arial"/>
                <w:bCs/>
                <w:sz w:val="28"/>
                <w:szCs w:val="28"/>
              </w:rPr>
              <w:t xml:space="preserve">YNET </w:t>
            </w:r>
            <w:r w:rsidR="003B31E2">
              <w:rPr>
                <w:rFonts w:ascii="Cambria" w:hAnsi="Cambria" w:cs="Arial"/>
                <w:bCs/>
                <w:sz w:val="28"/>
                <w:szCs w:val="28"/>
              </w:rPr>
              <w:t>–</w:t>
            </w:r>
            <w:r w:rsidRPr="00F0732E">
              <w:rPr>
                <w:rFonts w:ascii="Cambria" w:hAnsi="Cambria" w:cs="Arial"/>
                <w:bCs/>
                <w:sz w:val="28"/>
                <w:szCs w:val="28"/>
              </w:rPr>
              <w:t xml:space="preserve"> Youth hostel network</w:t>
            </w:r>
          </w:p>
          <w:p w:rsidR="00B51749" w:rsidRPr="00F0732E" w:rsidRDefault="00B51749" w:rsidP="00447572">
            <w:pPr>
              <w:pStyle w:val="Odsekzoznamu"/>
              <w:numPr>
                <w:ilvl w:val="0"/>
                <w:numId w:val="6"/>
              </w:numPr>
              <w:spacing w:after="0" w:line="240" w:lineRule="auto"/>
              <w:ind w:left="356"/>
              <w:jc w:val="left"/>
              <w:rPr>
                <w:rFonts w:ascii="Cambria" w:hAnsi="Cambria" w:cs="Arial"/>
                <w:bCs/>
                <w:sz w:val="28"/>
                <w:szCs w:val="28"/>
              </w:rPr>
            </w:pPr>
            <w:r w:rsidRPr="00F0732E">
              <w:rPr>
                <w:rFonts w:ascii="Cambria" w:hAnsi="Cambria" w:cs="Arial"/>
                <w:bCs/>
                <w:sz w:val="28"/>
                <w:szCs w:val="28"/>
              </w:rPr>
              <w:t>AIESEC Bratislava</w:t>
            </w:r>
          </w:p>
          <w:p w:rsidR="00B51749" w:rsidRPr="00F0732E" w:rsidRDefault="00B51749" w:rsidP="003B31E2">
            <w:pPr>
              <w:pStyle w:val="Odsekzoznamu"/>
              <w:numPr>
                <w:ilvl w:val="0"/>
                <w:numId w:val="6"/>
              </w:numPr>
              <w:spacing w:after="0" w:line="240" w:lineRule="auto"/>
              <w:ind w:left="356"/>
              <w:jc w:val="left"/>
              <w:rPr>
                <w:rFonts w:ascii="Cambria" w:hAnsi="Cambria" w:cs="Arial"/>
                <w:bCs/>
                <w:sz w:val="28"/>
                <w:szCs w:val="28"/>
              </w:rPr>
            </w:pPr>
            <w:r w:rsidRPr="00F0732E">
              <w:rPr>
                <w:rFonts w:ascii="Cambria" w:hAnsi="Cambria" w:cs="Arial"/>
                <w:bCs/>
                <w:sz w:val="28"/>
                <w:szCs w:val="28"/>
              </w:rPr>
              <w:t xml:space="preserve">ESN STUBA </w:t>
            </w:r>
            <w:r w:rsidR="003B31E2">
              <w:rPr>
                <w:rFonts w:ascii="Cambria" w:hAnsi="Cambria" w:cs="Arial"/>
                <w:bCs/>
                <w:sz w:val="28"/>
                <w:szCs w:val="28"/>
              </w:rPr>
              <w:t>–</w:t>
            </w:r>
            <w:r w:rsidRPr="00F0732E">
              <w:rPr>
                <w:rFonts w:ascii="Cambria" w:hAnsi="Cambria" w:cs="Arial"/>
                <w:bCs/>
                <w:sz w:val="28"/>
                <w:szCs w:val="28"/>
              </w:rPr>
              <w:t xml:space="preserve"> Erasmus student network</w:t>
            </w:r>
          </w:p>
        </w:tc>
      </w:tr>
    </w:tbl>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br w:type="page"/>
      </w:r>
    </w:p>
    <w:p w:rsidR="00B51749" w:rsidRPr="00F0732E" w:rsidRDefault="00B51749" w:rsidP="00B51749">
      <w:pPr>
        <w:rPr>
          <w:b/>
          <w:bCs/>
          <w:color w:val="FF0000"/>
          <w:sz w:val="28"/>
          <w:szCs w:val="28"/>
        </w:rPr>
      </w:pPr>
    </w:p>
    <w:p w:rsidR="00B51749" w:rsidRPr="00F0732E" w:rsidRDefault="00B51749" w:rsidP="00B51749">
      <w:pPr>
        <w:ind w:left="1080"/>
        <w:rPr>
          <w:b/>
          <w:bCs/>
          <w:color w:val="FF0000"/>
          <w:sz w:val="28"/>
          <w:szCs w:val="28"/>
        </w:rPr>
      </w:pPr>
    </w:p>
    <w:p w:rsidR="00B51749" w:rsidRPr="00F0732E" w:rsidRDefault="00B51749" w:rsidP="00B51749">
      <w:pPr>
        <w:pStyle w:val="Nadpis1"/>
        <w:rPr>
          <w:rFonts w:ascii="Cambria" w:hAnsi="Cambria"/>
          <w:color w:val="auto"/>
          <w:sz w:val="28"/>
          <w:szCs w:val="28"/>
        </w:rPr>
      </w:pPr>
      <w:bookmarkStart w:id="55" w:name="_Toc413009357"/>
      <w:r w:rsidRPr="00F0732E">
        <w:rPr>
          <w:rFonts w:ascii="Cambria" w:hAnsi="Cambria"/>
          <w:color w:val="auto"/>
          <w:sz w:val="28"/>
          <w:szCs w:val="28"/>
        </w:rPr>
        <w:t>Podporné činnosti vysokej školy</w:t>
      </w:r>
      <w:bookmarkStart w:id="56" w:name="_Toc349024715"/>
      <w:bookmarkEnd w:id="55"/>
    </w:p>
    <w:p w:rsidR="00B51749" w:rsidRPr="00F0732E" w:rsidRDefault="00B51749" w:rsidP="00B51749">
      <w:pPr>
        <w:pStyle w:val="Nadpis2"/>
        <w:rPr>
          <w:rFonts w:ascii="Cambria" w:hAnsi="Cambria"/>
          <w:color w:val="auto"/>
        </w:rPr>
      </w:pPr>
      <w:bookmarkStart w:id="57" w:name="_Toc413009358"/>
      <w:r w:rsidRPr="00F0732E">
        <w:rPr>
          <w:rFonts w:ascii="Cambria" w:hAnsi="Cambria"/>
          <w:color w:val="auto"/>
        </w:rPr>
        <w:t>Informačné a komunikačné technológie</w:t>
      </w:r>
      <w:bookmarkEnd w:id="56"/>
      <w:bookmarkEnd w:id="57"/>
    </w:p>
    <w:p w:rsidR="00B51749" w:rsidRPr="00F0732E" w:rsidRDefault="00B51749" w:rsidP="00B51749">
      <w:pPr>
        <w:rPr>
          <w:sz w:val="28"/>
          <w:szCs w:val="28"/>
          <w:lang w:eastAsia="cs-CZ"/>
        </w:rPr>
      </w:pPr>
    </w:p>
    <w:p w:rsidR="00B51749" w:rsidRPr="00F0732E" w:rsidRDefault="00B51749" w:rsidP="00B51749">
      <w:pPr>
        <w:rPr>
          <w:sz w:val="28"/>
          <w:szCs w:val="28"/>
        </w:rPr>
      </w:pPr>
      <w:r w:rsidRPr="00F0732E">
        <w:rPr>
          <w:b/>
          <w:bCs/>
          <w:sz w:val="28"/>
          <w:szCs w:val="28"/>
        </w:rPr>
        <w:t xml:space="preserve">Akademický informačný systém </w:t>
      </w:r>
    </w:p>
    <w:p w:rsidR="00B51749" w:rsidRPr="00F0732E" w:rsidRDefault="00B51749" w:rsidP="00B51749">
      <w:pPr>
        <w:rPr>
          <w:sz w:val="28"/>
          <w:szCs w:val="28"/>
        </w:rPr>
      </w:pPr>
      <w:r w:rsidRPr="00F0732E">
        <w:rPr>
          <w:sz w:val="28"/>
          <w:szCs w:val="28"/>
        </w:rPr>
        <w:t xml:space="preserve">Na STU je v prevádzke Akademický informačný systém, ktorý predstavuje komplexný informačný systém pre riadenie a správu hlavnej činnosti univerzity – pedagogickej a vedecko-výskumnej činnosti. </w:t>
      </w:r>
    </w:p>
    <w:p w:rsidR="00B51749" w:rsidRPr="00F0732E" w:rsidRDefault="00B51749" w:rsidP="00B51749">
      <w:pPr>
        <w:rPr>
          <w:sz w:val="28"/>
          <w:szCs w:val="28"/>
        </w:rPr>
      </w:pPr>
      <w:r w:rsidRPr="00F0732E">
        <w:rPr>
          <w:b/>
          <w:bCs/>
          <w:sz w:val="28"/>
          <w:szCs w:val="28"/>
        </w:rPr>
        <w:t>Preukaz študenta a učiteľa</w:t>
      </w:r>
    </w:p>
    <w:p w:rsidR="00B51749" w:rsidRPr="00F0732E" w:rsidRDefault="00B51749" w:rsidP="00B51749">
      <w:pPr>
        <w:rPr>
          <w:sz w:val="28"/>
          <w:szCs w:val="28"/>
        </w:rPr>
      </w:pPr>
      <w:r w:rsidRPr="00F0732E">
        <w:rPr>
          <w:sz w:val="28"/>
          <w:szCs w:val="28"/>
        </w:rPr>
        <w:t xml:space="preserve">Na STU sú zavedené preukazy študenta STU na báze DesFIRE ev1 (so zvýšeným zabezpečením údajov v čipe karty). Preukazy okrem aplikácií na STU slúžia ako preukazy </w:t>
      </w:r>
      <w:r w:rsidR="00787340">
        <w:rPr>
          <w:sz w:val="28"/>
          <w:szCs w:val="28"/>
        </w:rPr>
        <w:t>na</w:t>
      </w:r>
      <w:r w:rsidRPr="00F0732E">
        <w:rPr>
          <w:sz w:val="28"/>
          <w:szCs w:val="28"/>
        </w:rPr>
        <w:t xml:space="preserve"> vstupy do knižníc, </w:t>
      </w:r>
      <w:r w:rsidR="00787340">
        <w:rPr>
          <w:sz w:val="28"/>
          <w:szCs w:val="28"/>
        </w:rPr>
        <w:t>na</w:t>
      </w:r>
      <w:r w:rsidRPr="00F0732E">
        <w:rPr>
          <w:sz w:val="28"/>
          <w:szCs w:val="28"/>
        </w:rPr>
        <w:t xml:space="preserve"> zľavu na MHD, ŽSR, vo vybraných podnikoch SAD a v ďalších z oblasti športu či kultúry. Od roku 2012 je na základe zmluvy možné priamo na STU vydávať aj medzinárodné učiteľské preukazy ITIC (podobne ako ISIC). </w:t>
      </w:r>
    </w:p>
    <w:p w:rsidR="00B51749" w:rsidRPr="00F0732E" w:rsidRDefault="00B51749" w:rsidP="00B51749">
      <w:pPr>
        <w:pStyle w:val="Podtitul"/>
        <w:jc w:val="left"/>
        <w:rPr>
          <w:color w:val="auto"/>
          <w:sz w:val="28"/>
          <w:szCs w:val="28"/>
        </w:rPr>
      </w:pPr>
      <w:r w:rsidRPr="00F0732E">
        <w:rPr>
          <w:b/>
          <w:bCs/>
          <w:i w:val="0"/>
          <w:iCs w:val="0"/>
          <w:color w:val="auto"/>
          <w:sz w:val="28"/>
          <w:szCs w:val="28"/>
        </w:rPr>
        <w:t>Jednotné elektronické prostredie</w:t>
      </w:r>
    </w:p>
    <w:p w:rsidR="00B51749" w:rsidRPr="00F0732E" w:rsidRDefault="00B51749" w:rsidP="00B51749">
      <w:pPr>
        <w:rPr>
          <w:sz w:val="28"/>
          <w:szCs w:val="28"/>
        </w:rPr>
      </w:pPr>
      <w:r w:rsidRPr="00F0732E">
        <w:rPr>
          <w:sz w:val="28"/>
          <w:szCs w:val="28"/>
        </w:rPr>
        <w:t>Na realizáciu jednotného elektronického prostredia boli inštalované dva zrkadlové servery a programové vybavenie umožňujúce spravovať 30 tis. poštových boxov. Študenti majú automaticky vygenerovanú adresu na komunikáciu v rámci univerzity prostredníctvom AIS a každý študent má právo vytvoriť si elektronickú adresu na serveri Webmail STU.</w:t>
      </w:r>
    </w:p>
    <w:p w:rsidR="00B51749" w:rsidRPr="00F0732E" w:rsidRDefault="00B51749" w:rsidP="00B51749">
      <w:pPr>
        <w:pStyle w:val="Nadpis8"/>
        <w:numPr>
          <w:ilvl w:val="0"/>
          <w:numId w:val="0"/>
        </w:numPr>
        <w:spacing w:before="0" w:after="0"/>
        <w:ind w:left="1440" w:hanging="1440"/>
        <w:jc w:val="left"/>
        <w:rPr>
          <w:rFonts w:ascii="Cambria" w:hAnsi="Cambria"/>
          <w:color w:val="auto"/>
          <w:sz w:val="28"/>
          <w:szCs w:val="28"/>
        </w:rPr>
      </w:pPr>
      <w:r w:rsidRPr="00F0732E">
        <w:rPr>
          <w:rFonts w:ascii="Cambria" w:hAnsi="Cambria"/>
          <w:b/>
          <w:bCs/>
          <w:i w:val="0"/>
          <w:iCs w:val="0"/>
          <w:color w:val="auto"/>
          <w:sz w:val="28"/>
          <w:szCs w:val="28"/>
        </w:rPr>
        <w:t>Knižničný informačný systém</w:t>
      </w:r>
    </w:p>
    <w:p w:rsidR="00B51749" w:rsidRPr="00F0732E" w:rsidRDefault="00B51749" w:rsidP="00B51749">
      <w:pPr>
        <w:rPr>
          <w:sz w:val="28"/>
          <w:szCs w:val="28"/>
        </w:rPr>
      </w:pPr>
      <w:r w:rsidRPr="00F0732E">
        <w:rPr>
          <w:sz w:val="28"/>
          <w:szCs w:val="28"/>
        </w:rPr>
        <w:t>Systém OLIB, inštalovaný na platforme UNIX – ORACLE v. 10i, umožňuje automatizovane spracovávať všetky časti knižničného systému. Systém je dostupný cez WEB STU a umožňuje získať informácie o publikáciách v knižniciach STU z každého počítača v sieti. Možné sú výpožičky a rezervácia kníh cez internet. Celkove je v systéme evidovaných vyše 395 028 ex. kníh a časopisov (85 856 titulov). CVT STU zabezpečuje napĺňanie Centrálneho registra publikačnej činnosti na vysokých školách, ktorý spravuje MŠVVaŠ SR.</w:t>
      </w:r>
    </w:p>
    <w:p w:rsidR="00B51749" w:rsidRPr="00F0732E" w:rsidRDefault="00B51749" w:rsidP="00B51749">
      <w:pPr>
        <w:rPr>
          <w:b/>
          <w:sz w:val="28"/>
          <w:szCs w:val="28"/>
        </w:rPr>
      </w:pPr>
      <w:r w:rsidRPr="00F0732E">
        <w:rPr>
          <w:b/>
          <w:sz w:val="28"/>
          <w:szCs w:val="28"/>
        </w:rPr>
        <w:t>Tlač diplomov</w:t>
      </w:r>
    </w:p>
    <w:p w:rsidR="00B51749" w:rsidRPr="00F0732E" w:rsidRDefault="00B51749" w:rsidP="00B51749">
      <w:pPr>
        <w:pStyle w:val="Zkladntext"/>
        <w:spacing w:line="240" w:lineRule="auto"/>
        <w:jc w:val="left"/>
        <w:rPr>
          <w:rFonts w:ascii="Cambria" w:hAnsi="Cambria"/>
          <w:color w:val="auto"/>
          <w:sz w:val="28"/>
          <w:szCs w:val="28"/>
        </w:rPr>
      </w:pPr>
      <w:r w:rsidRPr="00F0732E">
        <w:rPr>
          <w:rFonts w:ascii="Cambria" w:hAnsi="Cambria"/>
          <w:color w:val="auto"/>
          <w:sz w:val="28"/>
          <w:szCs w:val="28"/>
        </w:rPr>
        <w:t xml:space="preserve">Na STU sa tlačia diplomy bakalárskeho a inžinierskeho štúdia centrálne pre všetky fakulty priamo zo systému AIS. Pre zvýšenie </w:t>
      </w:r>
      <w:r w:rsidRPr="00F0732E">
        <w:rPr>
          <w:rFonts w:ascii="Cambria" w:hAnsi="Cambria"/>
          <w:color w:val="auto"/>
          <w:sz w:val="28"/>
          <w:szCs w:val="28"/>
        </w:rPr>
        <w:lastRenderedPageBreak/>
        <w:t>bezpečnosti bolo navrhnuté riešenie vydávania diplomov a príloh k diplomom s holografickými značkami.</w:t>
      </w:r>
    </w:p>
    <w:p w:rsidR="00B51749" w:rsidRPr="00F0732E" w:rsidRDefault="00B51749" w:rsidP="00B51749">
      <w:pPr>
        <w:rPr>
          <w:sz w:val="28"/>
          <w:szCs w:val="28"/>
        </w:rPr>
      </w:pPr>
      <w:r w:rsidRPr="00F0732E">
        <w:rPr>
          <w:b/>
          <w:bCs/>
          <w:sz w:val="28"/>
          <w:szCs w:val="28"/>
        </w:rPr>
        <w:t>Ekonomický informačný systém</w:t>
      </w:r>
    </w:p>
    <w:p w:rsidR="00B51749" w:rsidRPr="00F0732E" w:rsidRDefault="00B51749" w:rsidP="00B51749">
      <w:pPr>
        <w:rPr>
          <w:sz w:val="28"/>
          <w:szCs w:val="28"/>
        </w:rPr>
      </w:pPr>
      <w:r w:rsidRPr="00F0732E">
        <w:rPr>
          <w:sz w:val="28"/>
          <w:szCs w:val="28"/>
        </w:rPr>
        <w:t>Pozostáva z modulov: personalistika a mzdy, majetok, finančné účtovníctvo, rozpočet a výkazy, MTZ, elektronický systém obeh dokladov, samostatný informačný systém evidencie a správy prenájmu nehnuteľností, stravovací systém Kredit 8 a elektronický registratúrny systém.</w:t>
      </w:r>
    </w:p>
    <w:p w:rsidR="00B51749" w:rsidRPr="00F0732E" w:rsidRDefault="00B51749" w:rsidP="00B51749">
      <w:pPr>
        <w:rPr>
          <w:sz w:val="28"/>
          <w:szCs w:val="28"/>
        </w:rPr>
      </w:pPr>
      <w:r w:rsidRPr="00F0732E">
        <w:rPr>
          <w:b/>
          <w:bCs/>
          <w:sz w:val="28"/>
          <w:szCs w:val="28"/>
        </w:rPr>
        <w:t>Vysokovýkonné počítanie</w:t>
      </w:r>
    </w:p>
    <w:p w:rsidR="00B51749" w:rsidRPr="00F0732E" w:rsidRDefault="00B51749" w:rsidP="00B51749">
      <w:pPr>
        <w:rPr>
          <w:sz w:val="28"/>
          <w:szCs w:val="28"/>
        </w:rPr>
      </w:pPr>
      <w:r w:rsidRPr="00F0732E">
        <w:rPr>
          <w:sz w:val="28"/>
          <w:szCs w:val="28"/>
        </w:rPr>
        <w:t xml:space="preserve">Od júla 2012 CVT zabezpečuje prevádzku výpočtového klastra IBM iDataPlex s výpočtovým výkonom 6,76 TFLOPS (624 cpu + 3584 cuda jadier, 2,5 TB RAM). CVT je zároveň pracoviskom zabezpečujúcim kooperovaný prístup na ďalšie superpočítače v rámci projektu SIVVP. Hlavný partner projektu je Výpočtové stredisko SAV, partneri sú Slovenská technická univerzita v Bratislave, Ústav informatiky SAV, Žilinská univerzita v Žiline, Technická univerzita v Košiciach, Univerzita Mateja Bela v Banskej Bystrici a Ústav experimentálnej fyziky SAV. Podrobnosti o projekte na </w:t>
      </w:r>
      <w:hyperlink r:id="rId61" w:history="1">
        <w:r w:rsidRPr="00F0732E">
          <w:rPr>
            <w:rStyle w:val="Hypertextovprepojenie"/>
            <w:color w:val="auto"/>
            <w:sz w:val="28"/>
            <w:szCs w:val="28"/>
          </w:rPr>
          <w:t>www.hpc.stuba.sk</w:t>
        </w:r>
      </w:hyperlink>
      <w:r w:rsidRPr="00F0732E">
        <w:rPr>
          <w:sz w:val="28"/>
          <w:szCs w:val="28"/>
        </w:rPr>
        <w:t>.</w:t>
      </w:r>
    </w:p>
    <w:p w:rsidR="00B51749" w:rsidRPr="00F0732E" w:rsidRDefault="00B51749" w:rsidP="00B51749">
      <w:pPr>
        <w:rPr>
          <w:sz w:val="28"/>
          <w:szCs w:val="28"/>
        </w:rPr>
      </w:pPr>
      <w:r w:rsidRPr="00F0732E">
        <w:rPr>
          <w:b/>
          <w:bCs/>
          <w:sz w:val="28"/>
          <w:szCs w:val="28"/>
        </w:rPr>
        <w:t xml:space="preserve">Komunikačná infraštruktúra </w:t>
      </w:r>
    </w:p>
    <w:p w:rsidR="00B51749" w:rsidRPr="00F0732E" w:rsidRDefault="00B51749" w:rsidP="00B51749">
      <w:pPr>
        <w:rPr>
          <w:sz w:val="28"/>
          <w:szCs w:val="28"/>
        </w:rPr>
      </w:pPr>
      <w:r w:rsidRPr="00F0732E">
        <w:rPr>
          <w:sz w:val="28"/>
          <w:szCs w:val="28"/>
        </w:rPr>
        <w:t xml:space="preserve">Na STU je v plnej 24-hodinovej prevádzke hlavný uzol siete SANET, do nej sa prepája sieť STUNET a iné akademické medzinárodné siete (ACONET, GEANT a CESNET). Do siete STUNET sú pripojené aj všetky študentské domovy STU. Na fakultách sú k dispozícii kiosky (45) s prístupom do AIS. Na STU je v 24-hodinovej prevádzke slovenské peeringové centrum – SIX (Slovak Internet eXchange, ktoré predstavuje neutrálne miesto na výmenu sieťovej infraštruktúry poskytovateľov internetu na Slovensku. Do SIXu je zapojených v súčasnosti 26 prevádzkovateľov internetu. </w:t>
      </w:r>
    </w:p>
    <w:p w:rsidR="00B51749" w:rsidRPr="00F0732E" w:rsidRDefault="00B51749" w:rsidP="00B51749">
      <w:pPr>
        <w:rPr>
          <w:b/>
          <w:sz w:val="28"/>
          <w:szCs w:val="28"/>
        </w:rPr>
      </w:pPr>
      <w:r w:rsidRPr="00F0732E">
        <w:rPr>
          <w:b/>
          <w:sz w:val="28"/>
          <w:szCs w:val="28"/>
        </w:rPr>
        <w:t>Videokonferencie</w:t>
      </w:r>
    </w:p>
    <w:p w:rsidR="00B51749" w:rsidRPr="00F0732E" w:rsidRDefault="00B51749" w:rsidP="00B51749">
      <w:pPr>
        <w:rPr>
          <w:b/>
          <w:sz w:val="28"/>
          <w:szCs w:val="28"/>
        </w:rPr>
      </w:pPr>
      <w:r w:rsidRPr="00F0732E">
        <w:rPr>
          <w:sz w:val="28"/>
          <w:szCs w:val="28"/>
        </w:rPr>
        <w:t>Na rektoráte STU a na MTF v Trnave je k dispozícii aj zariadenie pre telekonferencie CISCO Telepresence, ktoré umožňuje video</w:t>
      </w:r>
      <w:r w:rsidR="009E604E">
        <w:rPr>
          <w:sz w:val="28"/>
          <w:szCs w:val="28"/>
        </w:rPr>
        <w:softHyphen/>
      </w:r>
      <w:r w:rsidRPr="00F0732E">
        <w:rPr>
          <w:sz w:val="28"/>
          <w:szCs w:val="28"/>
        </w:rPr>
        <w:t xml:space="preserve">konferenčné prepojenie so slovenskými, európskymi i zámorskými univerzitami i komerčnými pracoviskami. </w:t>
      </w: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58" w:name="_Toc413009359"/>
      <w:r w:rsidRPr="00F0732E">
        <w:rPr>
          <w:rFonts w:ascii="Cambria" w:hAnsi="Cambria"/>
          <w:color w:val="auto"/>
        </w:rPr>
        <w:t>Vysokoškolský umelecký súbor Technik STU</w:t>
      </w:r>
      <w:bookmarkEnd w:id="58"/>
    </w:p>
    <w:p w:rsidR="00B51749" w:rsidRPr="00F0732E" w:rsidRDefault="00B51749" w:rsidP="00B51749">
      <w:pPr>
        <w:rPr>
          <w:color w:val="FF0000"/>
          <w:sz w:val="28"/>
          <w:szCs w:val="28"/>
          <w:lang w:eastAsia="cs-CZ"/>
        </w:rPr>
      </w:pPr>
    </w:p>
    <w:p w:rsidR="00B51749" w:rsidRPr="00F0732E" w:rsidRDefault="00B51749" w:rsidP="00B51749">
      <w:pPr>
        <w:rPr>
          <w:sz w:val="28"/>
          <w:szCs w:val="28"/>
        </w:rPr>
      </w:pPr>
      <w:r w:rsidRPr="00F0732E">
        <w:rPr>
          <w:sz w:val="28"/>
          <w:szCs w:val="28"/>
        </w:rPr>
        <w:t xml:space="preserve">VUS TECHNIK v období od 1. 1. 2014 do 31. 12. 2014 </w:t>
      </w:r>
    </w:p>
    <w:p w:rsidR="00B51749" w:rsidRPr="00F0732E" w:rsidRDefault="00B51749" w:rsidP="00B51749">
      <w:pPr>
        <w:rPr>
          <w:sz w:val="28"/>
          <w:szCs w:val="28"/>
        </w:rPr>
      </w:pPr>
      <w:r w:rsidRPr="00F0732E">
        <w:rPr>
          <w:sz w:val="28"/>
          <w:szCs w:val="28"/>
        </w:rPr>
        <w:t>pracoval v zložení</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lastRenderedPageBreak/>
        <w:t>Mgr.art. Ľubica Mešková</w:t>
      </w:r>
      <w:r w:rsidRPr="00F0732E">
        <w:rPr>
          <w:sz w:val="28"/>
          <w:szCs w:val="28"/>
        </w:rPr>
        <w:tab/>
        <w:t xml:space="preserve">riaditeľka  súboru </w:t>
      </w:r>
    </w:p>
    <w:p w:rsidR="00B51749" w:rsidRPr="00F0732E" w:rsidRDefault="00B51749" w:rsidP="00B51749">
      <w:pPr>
        <w:rPr>
          <w:sz w:val="28"/>
          <w:szCs w:val="28"/>
        </w:rPr>
      </w:pPr>
      <w:r w:rsidRPr="00F0732E">
        <w:rPr>
          <w:sz w:val="28"/>
          <w:szCs w:val="28"/>
        </w:rPr>
        <w:t>Ing. Lucia Otrubová</w:t>
      </w:r>
      <w:r w:rsidRPr="00F0732E">
        <w:rPr>
          <w:sz w:val="28"/>
          <w:szCs w:val="28"/>
        </w:rPr>
        <w:tab/>
      </w:r>
      <w:r w:rsidRPr="00F0732E">
        <w:rPr>
          <w:sz w:val="28"/>
          <w:szCs w:val="28"/>
        </w:rPr>
        <w:tab/>
        <w:t>tajomníčka súboru</w:t>
      </w:r>
    </w:p>
    <w:p w:rsidR="00B51749" w:rsidRPr="00F0732E" w:rsidRDefault="00B51749" w:rsidP="00B51749">
      <w:pPr>
        <w:rPr>
          <w:sz w:val="28"/>
          <w:szCs w:val="28"/>
        </w:rPr>
      </w:pPr>
      <w:r w:rsidRPr="00F0732E">
        <w:rPr>
          <w:sz w:val="28"/>
          <w:szCs w:val="28"/>
        </w:rPr>
        <w:t xml:space="preserve">Bc. Igor Hajdučík </w:t>
      </w:r>
      <w:r w:rsidRPr="00F0732E">
        <w:rPr>
          <w:sz w:val="28"/>
          <w:szCs w:val="28"/>
        </w:rPr>
        <w:tab/>
      </w:r>
      <w:r w:rsidRPr="00F0732E">
        <w:rPr>
          <w:sz w:val="28"/>
          <w:szCs w:val="28"/>
        </w:rPr>
        <w:tab/>
      </w:r>
      <w:r w:rsidRPr="00F0732E">
        <w:rPr>
          <w:sz w:val="28"/>
          <w:szCs w:val="28"/>
        </w:rPr>
        <w:tab/>
        <w:t xml:space="preserve">umelecký vedúci Folklórneho súboru </w:t>
      </w:r>
    </w:p>
    <w:p w:rsidR="00B51749" w:rsidRPr="00F0732E" w:rsidRDefault="00B51749" w:rsidP="00B51749">
      <w:pPr>
        <w:rPr>
          <w:sz w:val="28"/>
          <w:szCs w:val="28"/>
        </w:rPr>
      </w:pPr>
      <w:r w:rsidRPr="00F0732E">
        <w:rPr>
          <w:sz w:val="28"/>
          <w:szCs w:val="28"/>
        </w:rPr>
        <w:t xml:space="preserve">Radovan Voloch  </w:t>
      </w:r>
      <w:r w:rsidRPr="00F0732E">
        <w:rPr>
          <w:sz w:val="28"/>
          <w:szCs w:val="28"/>
        </w:rPr>
        <w:tab/>
      </w:r>
      <w:r w:rsidRPr="00F0732E">
        <w:rPr>
          <w:sz w:val="28"/>
          <w:szCs w:val="28"/>
        </w:rPr>
        <w:tab/>
      </w:r>
      <w:r w:rsidRPr="00F0732E">
        <w:rPr>
          <w:sz w:val="28"/>
          <w:szCs w:val="28"/>
        </w:rPr>
        <w:tab/>
        <w:t xml:space="preserve">organiz. vedúci Folklórneho súboru </w:t>
      </w:r>
    </w:p>
    <w:p w:rsidR="00B51749" w:rsidRPr="00F0732E" w:rsidRDefault="00B51749" w:rsidP="00B51749">
      <w:pPr>
        <w:rPr>
          <w:sz w:val="28"/>
          <w:szCs w:val="28"/>
        </w:rPr>
      </w:pPr>
      <w:r w:rsidRPr="00F0732E">
        <w:rPr>
          <w:sz w:val="28"/>
          <w:szCs w:val="28"/>
        </w:rPr>
        <w:t>Denisa Cicáková</w:t>
      </w:r>
      <w:r w:rsidRPr="00F0732E">
        <w:rPr>
          <w:sz w:val="28"/>
          <w:szCs w:val="28"/>
        </w:rPr>
        <w:tab/>
      </w:r>
      <w:r w:rsidRPr="00F0732E">
        <w:rPr>
          <w:sz w:val="28"/>
          <w:szCs w:val="28"/>
        </w:rPr>
        <w:tab/>
      </w:r>
      <w:r w:rsidRPr="00F0732E">
        <w:rPr>
          <w:sz w:val="28"/>
          <w:szCs w:val="28"/>
        </w:rPr>
        <w:tab/>
        <w:t>krojárka Folklórneho súboru</w:t>
      </w:r>
    </w:p>
    <w:p w:rsidR="00B51749" w:rsidRPr="00F0732E" w:rsidRDefault="00B51749" w:rsidP="00B51749">
      <w:pPr>
        <w:rPr>
          <w:sz w:val="28"/>
          <w:szCs w:val="28"/>
        </w:rPr>
      </w:pPr>
      <w:r w:rsidRPr="00F0732E">
        <w:rPr>
          <w:sz w:val="28"/>
          <w:szCs w:val="28"/>
        </w:rPr>
        <w:t>Štefan Molota</w:t>
      </w:r>
      <w:r w:rsidRPr="00F0732E">
        <w:rPr>
          <w:sz w:val="28"/>
          <w:szCs w:val="28"/>
        </w:rPr>
        <w:tab/>
      </w:r>
      <w:r w:rsidRPr="00F0732E">
        <w:rPr>
          <w:sz w:val="28"/>
          <w:szCs w:val="28"/>
        </w:rPr>
        <w:tab/>
      </w:r>
      <w:r w:rsidRPr="00F0732E">
        <w:rPr>
          <w:sz w:val="28"/>
          <w:szCs w:val="28"/>
        </w:rPr>
        <w:tab/>
        <w:t>vedúci ľudovej hudby</w:t>
      </w:r>
    </w:p>
    <w:p w:rsidR="00B51749" w:rsidRPr="00F0732E" w:rsidRDefault="00B51749" w:rsidP="00B51749">
      <w:pPr>
        <w:rPr>
          <w:sz w:val="28"/>
          <w:szCs w:val="28"/>
        </w:rPr>
      </w:pPr>
      <w:r w:rsidRPr="00F0732E">
        <w:rPr>
          <w:sz w:val="28"/>
          <w:szCs w:val="28"/>
        </w:rPr>
        <w:t xml:space="preserve">Mgr. Jozef Hudák </w:t>
      </w:r>
      <w:r w:rsidRPr="00F0732E">
        <w:rPr>
          <w:sz w:val="28"/>
          <w:szCs w:val="28"/>
        </w:rPr>
        <w:tab/>
      </w:r>
      <w:r w:rsidRPr="00F0732E">
        <w:rPr>
          <w:sz w:val="28"/>
          <w:szCs w:val="28"/>
        </w:rPr>
        <w:tab/>
      </w:r>
      <w:r w:rsidRPr="00F0732E">
        <w:rPr>
          <w:sz w:val="28"/>
          <w:szCs w:val="28"/>
        </w:rPr>
        <w:tab/>
        <w:t>primáš ľudovej hudby Folk</w:t>
      </w:r>
      <w:r w:rsidR="009E604E">
        <w:rPr>
          <w:sz w:val="28"/>
          <w:szCs w:val="28"/>
        </w:rPr>
        <w:t xml:space="preserve">. </w:t>
      </w:r>
      <w:r w:rsidRPr="00F0732E">
        <w:rPr>
          <w:sz w:val="28"/>
          <w:szCs w:val="28"/>
        </w:rPr>
        <w:t>súboru</w:t>
      </w:r>
    </w:p>
    <w:p w:rsidR="00B51749" w:rsidRPr="00F0732E" w:rsidRDefault="00B51749" w:rsidP="00B51749">
      <w:pPr>
        <w:rPr>
          <w:sz w:val="28"/>
          <w:szCs w:val="28"/>
        </w:rPr>
      </w:pPr>
      <w:r w:rsidRPr="00F0732E">
        <w:rPr>
          <w:sz w:val="28"/>
          <w:szCs w:val="28"/>
        </w:rPr>
        <w:t>Ing. Lucia Turiničová</w:t>
      </w:r>
      <w:r w:rsidRPr="00F0732E">
        <w:rPr>
          <w:sz w:val="28"/>
          <w:szCs w:val="28"/>
        </w:rPr>
        <w:tab/>
      </w:r>
      <w:r w:rsidRPr="00F0732E">
        <w:rPr>
          <w:sz w:val="28"/>
          <w:szCs w:val="28"/>
        </w:rPr>
        <w:tab/>
        <w:t>vedúca dievčenskej speváckej skupiny</w:t>
      </w:r>
    </w:p>
    <w:p w:rsidR="00B51749" w:rsidRPr="00F0732E" w:rsidRDefault="00B51749" w:rsidP="00B51749">
      <w:pPr>
        <w:rPr>
          <w:sz w:val="28"/>
          <w:szCs w:val="28"/>
        </w:rPr>
      </w:pPr>
      <w:r w:rsidRPr="00F0732E">
        <w:rPr>
          <w:sz w:val="28"/>
          <w:szCs w:val="28"/>
        </w:rPr>
        <w:t>Mgr.art. Mirko Krajči</w:t>
      </w:r>
      <w:r w:rsidRPr="00F0732E">
        <w:rPr>
          <w:sz w:val="28"/>
          <w:szCs w:val="28"/>
        </w:rPr>
        <w:tab/>
      </w:r>
      <w:r w:rsidRPr="00F0732E">
        <w:rPr>
          <w:sz w:val="28"/>
          <w:szCs w:val="28"/>
        </w:rPr>
        <w:tab/>
        <w:t>dirigent  Komorného orchestra</w:t>
      </w:r>
    </w:p>
    <w:p w:rsidR="00B51749" w:rsidRPr="00F0732E" w:rsidRDefault="00B51749" w:rsidP="00B51749">
      <w:pPr>
        <w:rPr>
          <w:sz w:val="28"/>
          <w:szCs w:val="28"/>
        </w:rPr>
      </w:pPr>
      <w:r w:rsidRPr="00F0732E">
        <w:rPr>
          <w:sz w:val="28"/>
          <w:szCs w:val="28"/>
        </w:rPr>
        <w:t>František Török (2008)</w:t>
      </w:r>
      <w:r w:rsidRPr="00F0732E">
        <w:rPr>
          <w:sz w:val="28"/>
          <w:szCs w:val="28"/>
        </w:rPr>
        <w:tab/>
      </w:r>
      <w:r w:rsidRPr="00F0732E">
        <w:rPr>
          <w:sz w:val="28"/>
          <w:szCs w:val="28"/>
        </w:rPr>
        <w:tab/>
        <w:t>prvé husle  Komorného súboru</w:t>
      </w:r>
    </w:p>
    <w:p w:rsidR="00B51749" w:rsidRPr="00F0732E" w:rsidRDefault="00B51749" w:rsidP="00B51749">
      <w:pPr>
        <w:rPr>
          <w:sz w:val="28"/>
          <w:szCs w:val="28"/>
        </w:rPr>
      </w:pPr>
      <w:r w:rsidRPr="00F0732E">
        <w:rPr>
          <w:sz w:val="28"/>
          <w:szCs w:val="28"/>
        </w:rPr>
        <w:t>Bibiána Rybárová</w:t>
      </w:r>
      <w:r w:rsidRPr="00F0732E">
        <w:rPr>
          <w:sz w:val="28"/>
          <w:szCs w:val="28"/>
        </w:rPr>
        <w:tab/>
      </w:r>
      <w:r w:rsidRPr="00F0732E">
        <w:rPr>
          <w:sz w:val="28"/>
          <w:szCs w:val="28"/>
        </w:rPr>
        <w:tab/>
      </w:r>
      <w:r w:rsidRPr="00F0732E">
        <w:rPr>
          <w:sz w:val="28"/>
          <w:szCs w:val="28"/>
        </w:rPr>
        <w:tab/>
        <w:t xml:space="preserve">organizačná vedúca KO </w:t>
      </w:r>
    </w:p>
    <w:p w:rsidR="00B51749" w:rsidRPr="00F0732E" w:rsidRDefault="00B51749" w:rsidP="00B51749">
      <w:pPr>
        <w:rPr>
          <w:sz w:val="28"/>
          <w:szCs w:val="28"/>
        </w:rPr>
      </w:pPr>
      <w:r w:rsidRPr="00F0732E">
        <w:rPr>
          <w:sz w:val="28"/>
          <w:szCs w:val="28"/>
        </w:rPr>
        <w:t>Andrea Pietrová</w:t>
      </w:r>
      <w:r w:rsidR="009E604E">
        <w:rPr>
          <w:sz w:val="28"/>
          <w:szCs w:val="28"/>
        </w:rPr>
        <w:tab/>
      </w:r>
      <w:r w:rsidR="009E604E">
        <w:rPr>
          <w:sz w:val="28"/>
          <w:szCs w:val="28"/>
        </w:rPr>
        <w:tab/>
        <w:t xml:space="preserve">           </w:t>
      </w:r>
      <w:r w:rsidR="009E604E">
        <w:rPr>
          <w:sz w:val="28"/>
          <w:szCs w:val="28"/>
        </w:rPr>
        <w:tab/>
      </w:r>
      <w:r w:rsidRPr="00F0732E">
        <w:rPr>
          <w:sz w:val="28"/>
          <w:szCs w:val="28"/>
        </w:rPr>
        <w:t>organizačná vedúca KO</w:t>
      </w:r>
    </w:p>
    <w:p w:rsidR="00B51749" w:rsidRPr="00F0732E" w:rsidRDefault="00B51749" w:rsidP="00B51749">
      <w:pPr>
        <w:rPr>
          <w:sz w:val="28"/>
          <w:szCs w:val="28"/>
        </w:rPr>
      </w:pPr>
      <w:r w:rsidRPr="00F0732E">
        <w:rPr>
          <w:sz w:val="28"/>
          <w:szCs w:val="28"/>
        </w:rPr>
        <w:t xml:space="preserve">Mgr. Petra Torkošová </w:t>
      </w:r>
      <w:r w:rsidRPr="00F0732E">
        <w:rPr>
          <w:sz w:val="28"/>
          <w:szCs w:val="28"/>
        </w:rPr>
        <w:tab/>
      </w:r>
      <w:r w:rsidRPr="00F0732E">
        <w:rPr>
          <w:sz w:val="28"/>
          <w:szCs w:val="28"/>
        </w:rPr>
        <w:tab/>
        <w:t>dirigentka Speváckeho zboru</w:t>
      </w:r>
    </w:p>
    <w:p w:rsidR="00B51749" w:rsidRPr="00F0732E" w:rsidRDefault="00B51749" w:rsidP="00B51749">
      <w:pPr>
        <w:rPr>
          <w:sz w:val="28"/>
          <w:szCs w:val="28"/>
        </w:rPr>
      </w:pPr>
      <w:r w:rsidRPr="00F0732E">
        <w:rPr>
          <w:sz w:val="28"/>
          <w:szCs w:val="28"/>
        </w:rPr>
        <w:t xml:space="preserve">Ing. Ján Pallo </w:t>
      </w:r>
      <w:r w:rsidRPr="00F0732E">
        <w:rPr>
          <w:sz w:val="28"/>
          <w:szCs w:val="28"/>
        </w:rPr>
        <w:tab/>
      </w:r>
      <w:r w:rsidRPr="00F0732E">
        <w:rPr>
          <w:sz w:val="28"/>
          <w:szCs w:val="28"/>
        </w:rPr>
        <w:tab/>
      </w:r>
      <w:r w:rsidRPr="00F0732E">
        <w:rPr>
          <w:sz w:val="28"/>
          <w:szCs w:val="28"/>
        </w:rPr>
        <w:tab/>
        <w:t xml:space="preserve">organizačný vedúci SZ  </w:t>
      </w:r>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Členská základňa súboru dosahovala v tomto období 157 členov, </w:t>
      </w:r>
      <w:r w:rsidR="00787340">
        <w:rPr>
          <w:sz w:val="28"/>
          <w:szCs w:val="28"/>
        </w:rPr>
        <w:t>z</w:t>
      </w:r>
      <w:r w:rsidRPr="00F0732E">
        <w:rPr>
          <w:sz w:val="28"/>
          <w:szCs w:val="28"/>
        </w:rPr>
        <w:t xml:space="preserve"> toho 84 vo folklórnom</w:t>
      </w:r>
      <w:r w:rsidR="00787340">
        <w:rPr>
          <w:sz w:val="28"/>
          <w:szCs w:val="28"/>
        </w:rPr>
        <w:t xml:space="preserve"> súbore, 27 v komornom orchestri, 44 v speváckom z</w:t>
      </w:r>
      <w:r w:rsidRPr="00F0732E">
        <w:rPr>
          <w:sz w:val="28"/>
          <w:szCs w:val="28"/>
        </w:rPr>
        <w:t xml:space="preserve">bore a dvaja členovia vedenia. </w:t>
      </w:r>
    </w:p>
    <w:p w:rsidR="00B51749" w:rsidRPr="00F0732E" w:rsidRDefault="00B51749" w:rsidP="00B51749">
      <w:pPr>
        <w:rPr>
          <w:b/>
          <w:sz w:val="28"/>
          <w:szCs w:val="28"/>
        </w:rPr>
      </w:pPr>
    </w:p>
    <w:p w:rsidR="00B51749" w:rsidRPr="00F0732E" w:rsidRDefault="00B51749" w:rsidP="00B51749">
      <w:pPr>
        <w:rPr>
          <w:b/>
          <w:sz w:val="28"/>
          <w:szCs w:val="28"/>
        </w:rPr>
      </w:pPr>
      <w:r w:rsidRPr="00F0732E">
        <w:rPr>
          <w:b/>
          <w:sz w:val="28"/>
          <w:szCs w:val="28"/>
        </w:rPr>
        <w:t>Folklórny súbor</w:t>
      </w:r>
    </w:p>
    <w:p w:rsidR="00B51749" w:rsidRPr="00F0732E" w:rsidRDefault="00B51749" w:rsidP="00B51749">
      <w:pPr>
        <w:rPr>
          <w:b/>
          <w:sz w:val="28"/>
          <w:szCs w:val="28"/>
        </w:rPr>
      </w:pPr>
      <w:r w:rsidRPr="00F0732E">
        <w:rPr>
          <w:sz w:val="28"/>
          <w:szCs w:val="28"/>
        </w:rPr>
        <w:t>V roku 2014 folklórny súbor absolvoval 28 domácich vystúpení a 5 zahraničných. Absolvoval folklórne festivaly Východná 2014, Folklórne Oravice, Tlmačská gramóra, Dni Majstrov –</w:t>
      </w:r>
      <w:r w:rsidR="00787340">
        <w:rPr>
          <w:sz w:val="28"/>
          <w:szCs w:val="28"/>
        </w:rPr>
        <w:t xml:space="preserve"> </w:t>
      </w:r>
      <w:r w:rsidRPr="00F0732E">
        <w:rPr>
          <w:sz w:val="28"/>
          <w:szCs w:val="28"/>
        </w:rPr>
        <w:t>ÚĽUV, Sebechleby 2014. Folklórny súbor sa zúčastnil na medzinárodnom festivale MUZITE 2014 v bulharskom Sozopole v termíne od 6.</w:t>
      </w:r>
      <w:r w:rsidR="00787340">
        <w:rPr>
          <w:sz w:val="28"/>
          <w:szCs w:val="28"/>
        </w:rPr>
        <w:t xml:space="preserve"> </w:t>
      </w:r>
      <w:r w:rsidRPr="00F0732E">
        <w:rPr>
          <w:sz w:val="28"/>
          <w:szCs w:val="28"/>
        </w:rPr>
        <w:t>7.</w:t>
      </w:r>
      <w:r w:rsidR="00787340">
        <w:rPr>
          <w:sz w:val="28"/>
          <w:szCs w:val="28"/>
        </w:rPr>
        <w:t xml:space="preserve"> </w:t>
      </w:r>
      <w:r w:rsidRPr="00F0732E">
        <w:rPr>
          <w:sz w:val="28"/>
          <w:szCs w:val="28"/>
        </w:rPr>
        <w:t>2014 do 14.</w:t>
      </w:r>
      <w:r w:rsidR="00787340">
        <w:rPr>
          <w:sz w:val="28"/>
          <w:szCs w:val="28"/>
        </w:rPr>
        <w:t xml:space="preserve"> </w:t>
      </w:r>
      <w:r w:rsidRPr="00F0732E">
        <w:rPr>
          <w:sz w:val="28"/>
          <w:szCs w:val="28"/>
        </w:rPr>
        <w:t>7.</w:t>
      </w:r>
      <w:r w:rsidR="00787340">
        <w:rPr>
          <w:sz w:val="28"/>
          <w:szCs w:val="28"/>
        </w:rPr>
        <w:t xml:space="preserve"> </w:t>
      </w:r>
      <w:r w:rsidRPr="00F0732E">
        <w:rPr>
          <w:sz w:val="28"/>
          <w:szCs w:val="28"/>
        </w:rPr>
        <w:t>2014. Festivalu sa zúčastnilo 15 skupín zo štátov: Srb</w:t>
      </w:r>
      <w:r w:rsidR="00787340">
        <w:rPr>
          <w:sz w:val="28"/>
          <w:szCs w:val="28"/>
        </w:rPr>
        <w:t>s</w:t>
      </w:r>
      <w:r w:rsidRPr="00F0732E">
        <w:rPr>
          <w:sz w:val="28"/>
          <w:szCs w:val="28"/>
        </w:rPr>
        <w:t xml:space="preserve">ko, Maďarsko, Fínsko, Rusko, Macedónsko, Slovensko. </w:t>
      </w:r>
      <w:r w:rsidR="00787340">
        <w:rPr>
          <w:sz w:val="28"/>
          <w:szCs w:val="28"/>
        </w:rPr>
        <w:t>Z</w:t>
      </w:r>
      <w:r w:rsidRPr="00F0732E">
        <w:rPr>
          <w:sz w:val="28"/>
          <w:szCs w:val="28"/>
        </w:rPr>
        <w:t xml:space="preserve">účastnili </w:t>
      </w:r>
      <w:r w:rsidR="00787340">
        <w:rPr>
          <w:sz w:val="28"/>
          <w:szCs w:val="28"/>
        </w:rPr>
        <w:t xml:space="preserve">sa ho aj </w:t>
      </w:r>
      <w:r w:rsidRPr="00F0732E">
        <w:rPr>
          <w:sz w:val="28"/>
          <w:szCs w:val="28"/>
        </w:rPr>
        <w:t>bulharské súbory</w:t>
      </w:r>
      <w:r w:rsidR="00787340">
        <w:rPr>
          <w:sz w:val="28"/>
          <w:szCs w:val="28"/>
        </w:rPr>
        <w:t>,</w:t>
      </w:r>
      <w:r w:rsidRPr="00F0732E">
        <w:rPr>
          <w:sz w:val="28"/>
          <w:szCs w:val="28"/>
        </w:rPr>
        <w:t xml:space="preserve"> ako aj domáce zoskupenia. Festival bol súťažného charakteru.</w:t>
      </w:r>
      <w:r w:rsidRPr="00F0732E">
        <w:rPr>
          <w:b/>
          <w:sz w:val="28"/>
          <w:szCs w:val="28"/>
        </w:rPr>
        <w:t xml:space="preserve"> </w:t>
      </w:r>
      <w:r w:rsidRPr="00F0732E">
        <w:rPr>
          <w:sz w:val="28"/>
          <w:szCs w:val="28"/>
        </w:rPr>
        <w:t>Folklórny súbor získal prvé miesto za choreografické spracovanie národných tancov</w:t>
      </w:r>
      <w:r w:rsidR="00787340">
        <w:rPr>
          <w:sz w:val="28"/>
          <w:szCs w:val="28"/>
        </w:rPr>
        <w:t>,</w:t>
      </w:r>
      <w:r w:rsidRPr="00F0732E">
        <w:rPr>
          <w:sz w:val="28"/>
          <w:szCs w:val="28"/>
        </w:rPr>
        <w:t xml:space="preserve"> a tiež cenu za komplexné prevedenie svojho umenia vo všetkých zložkách.</w:t>
      </w:r>
    </w:p>
    <w:p w:rsidR="00B51749" w:rsidRPr="00F0732E" w:rsidRDefault="00B51749" w:rsidP="00B51749">
      <w:pPr>
        <w:rPr>
          <w:sz w:val="28"/>
          <w:szCs w:val="28"/>
        </w:rPr>
      </w:pPr>
      <w:r w:rsidRPr="00F0732E">
        <w:rPr>
          <w:sz w:val="28"/>
          <w:szCs w:val="28"/>
        </w:rPr>
        <w:t>Počas roku 2014 pracovalo v súbore celkovo 74 členov. Na konkurze bolo prijatých 10 nových členov.</w:t>
      </w:r>
    </w:p>
    <w:p w:rsidR="00B51749" w:rsidRPr="00F0732E" w:rsidRDefault="00B51749" w:rsidP="00B51749">
      <w:pPr>
        <w:rPr>
          <w:sz w:val="28"/>
          <w:szCs w:val="28"/>
        </w:rPr>
      </w:pPr>
    </w:p>
    <w:p w:rsidR="00B51749" w:rsidRPr="00F0732E" w:rsidRDefault="00B51749" w:rsidP="00B51749">
      <w:pPr>
        <w:rPr>
          <w:b/>
          <w:sz w:val="28"/>
          <w:szCs w:val="28"/>
        </w:rPr>
      </w:pPr>
      <w:r w:rsidRPr="00F0732E">
        <w:rPr>
          <w:b/>
          <w:sz w:val="28"/>
          <w:szCs w:val="28"/>
        </w:rPr>
        <w:t>Spevácky zbor</w:t>
      </w:r>
    </w:p>
    <w:p w:rsidR="00B51749" w:rsidRPr="00F0732E" w:rsidRDefault="00B51749" w:rsidP="00B51749">
      <w:pPr>
        <w:rPr>
          <w:b/>
          <w:sz w:val="28"/>
          <w:szCs w:val="28"/>
        </w:rPr>
      </w:pPr>
      <w:r w:rsidRPr="00F0732E">
        <w:rPr>
          <w:sz w:val="28"/>
          <w:szCs w:val="28"/>
        </w:rPr>
        <w:t xml:space="preserve">V roku 2014 sa Spevácky zbor Technik STU predstavil v rámci 16 koncertných vystúpení. Okrem samostatných verejných podujatí, projektových rámcov Spevácky zbor Technik STU zabezpečoval i sprievodný program v rámci podujatí jednotlivých fakúlt a katedier STU podľa ich požiadaviek. Na čele zboru pôsobila nová dirigentka </w:t>
      </w:r>
      <w:r w:rsidRPr="00F0732E">
        <w:rPr>
          <w:sz w:val="28"/>
          <w:szCs w:val="28"/>
        </w:rPr>
        <w:lastRenderedPageBreak/>
        <w:t>Petra Torkošová</w:t>
      </w:r>
      <w:r w:rsidR="00C47018">
        <w:rPr>
          <w:sz w:val="28"/>
          <w:szCs w:val="28"/>
        </w:rPr>
        <w:t>,</w:t>
      </w:r>
      <w:r w:rsidRPr="00F0732E">
        <w:rPr>
          <w:sz w:val="28"/>
          <w:szCs w:val="28"/>
        </w:rPr>
        <w:t xml:space="preserve"> a zároveň došlo k väčšej generačnej výmene členov zboru. Spevácky zbor absolvoval viaceré koncerty</w:t>
      </w:r>
      <w:r w:rsidR="00C47018">
        <w:rPr>
          <w:sz w:val="28"/>
          <w:szCs w:val="28"/>
        </w:rPr>
        <w:t>:</w:t>
      </w:r>
      <w:r w:rsidRPr="00F0732E">
        <w:rPr>
          <w:sz w:val="28"/>
          <w:szCs w:val="28"/>
        </w:rPr>
        <w:t xml:space="preserve"> v Bratislave – SND, Zrkadlová sieň – Primaciálny palác, </w:t>
      </w:r>
      <w:r w:rsidR="00C47018">
        <w:rPr>
          <w:sz w:val="28"/>
          <w:szCs w:val="28"/>
        </w:rPr>
        <w:t xml:space="preserve">v </w:t>
      </w:r>
      <w:r w:rsidRPr="00F0732E">
        <w:rPr>
          <w:sz w:val="28"/>
          <w:szCs w:val="28"/>
        </w:rPr>
        <w:t>Brne, Pripomenutie 70.</w:t>
      </w:r>
      <w:r w:rsidR="00C47018">
        <w:rPr>
          <w:sz w:val="28"/>
          <w:szCs w:val="28"/>
        </w:rPr>
        <w:t xml:space="preserve"> </w:t>
      </w:r>
      <w:r w:rsidRPr="00F0732E">
        <w:rPr>
          <w:sz w:val="28"/>
          <w:szCs w:val="28"/>
        </w:rPr>
        <w:t xml:space="preserve">výročia SNP na STU, Výročie Stavebnej fakulty STU, otvorenie školského roku. Nová zborová tvorba mladej generácie slovenských autorov a interpretov bola prezentovaná v Žiline, v Bratislave (Moyzesova sieň), vianočné koncerty pre STU, Otče náš </w:t>
      </w:r>
      <w:r w:rsidR="00C47018">
        <w:rPr>
          <w:sz w:val="28"/>
          <w:szCs w:val="28"/>
        </w:rPr>
        <w:t>–</w:t>
      </w:r>
      <w:r w:rsidRPr="00F0732E">
        <w:rPr>
          <w:sz w:val="28"/>
          <w:szCs w:val="28"/>
        </w:rPr>
        <w:t xml:space="preserve"> koncertný cyklus, Vrbové,</w:t>
      </w:r>
      <w:r w:rsidR="00C47018">
        <w:rPr>
          <w:sz w:val="28"/>
          <w:szCs w:val="28"/>
        </w:rPr>
        <w:t xml:space="preserve"> </w:t>
      </w:r>
      <w:r w:rsidRPr="00F0732E">
        <w:rPr>
          <w:sz w:val="28"/>
          <w:szCs w:val="28"/>
        </w:rPr>
        <w:t>Zrkadlenie našich duší, V klub, vianočné koledy na štadióne Slovanu po hokejovo</w:t>
      </w:r>
      <w:r w:rsidR="00C47018">
        <w:rPr>
          <w:sz w:val="28"/>
          <w:szCs w:val="28"/>
        </w:rPr>
        <w:t>m</w:t>
      </w:r>
      <w:r w:rsidRPr="00F0732E">
        <w:rPr>
          <w:sz w:val="28"/>
          <w:szCs w:val="28"/>
        </w:rPr>
        <w:t xml:space="preserve"> zápase klubu 24.</w:t>
      </w:r>
      <w:r w:rsidR="00C47018">
        <w:rPr>
          <w:sz w:val="28"/>
          <w:szCs w:val="28"/>
        </w:rPr>
        <w:t xml:space="preserve"> </w:t>
      </w:r>
      <w:r w:rsidRPr="00F0732E">
        <w:rPr>
          <w:sz w:val="28"/>
          <w:szCs w:val="28"/>
        </w:rPr>
        <w:t>12.</w:t>
      </w:r>
      <w:r w:rsidR="00C47018">
        <w:rPr>
          <w:sz w:val="28"/>
          <w:szCs w:val="28"/>
        </w:rPr>
        <w:t xml:space="preserve"> </w:t>
      </w:r>
      <w:r w:rsidRPr="00F0732E">
        <w:rPr>
          <w:sz w:val="28"/>
          <w:szCs w:val="28"/>
        </w:rPr>
        <w:t>2014. Počas roku 2014 pracovalo v súbore celkovo 44 členov</w:t>
      </w:r>
      <w:r w:rsidRPr="00F0732E">
        <w:rPr>
          <w:rFonts w:cs="Calibri"/>
          <w:sz w:val="28"/>
          <w:szCs w:val="28"/>
        </w:rPr>
        <w:t>.</w:t>
      </w:r>
    </w:p>
    <w:p w:rsidR="00B51749" w:rsidRPr="00F0732E" w:rsidRDefault="00B51749" w:rsidP="00B51749">
      <w:pPr>
        <w:spacing w:before="240"/>
        <w:rPr>
          <w:sz w:val="28"/>
          <w:szCs w:val="28"/>
        </w:rPr>
      </w:pPr>
    </w:p>
    <w:p w:rsidR="00B51749" w:rsidRPr="00F0732E" w:rsidRDefault="00B51749" w:rsidP="00B51749">
      <w:pPr>
        <w:rPr>
          <w:b/>
          <w:sz w:val="28"/>
          <w:szCs w:val="28"/>
        </w:rPr>
      </w:pPr>
      <w:r w:rsidRPr="00F0732E">
        <w:rPr>
          <w:b/>
          <w:sz w:val="28"/>
          <w:szCs w:val="28"/>
        </w:rPr>
        <w:t>Komorný orchester</w:t>
      </w:r>
    </w:p>
    <w:p w:rsidR="00B51749" w:rsidRPr="00F0732E" w:rsidRDefault="00B51749" w:rsidP="00B51749">
      <w:pPr>
        <w:autoSpaceDE w:val="0"/>
        <w:autoSpaceDN w:val="0"/>
        <w:adjustRightInd w:val="0"/>
        <w:rPr>
          <w:sz w:val="28"/>
          <w:szCs w:val="28"/>
        </w:rPr>
      </w:pPr>
      <w:r w:rsidRPr="00F0732E">
        <w:rPr>
          <w:sz w:val="28"/>
          <w:szCs w:val="28"/>
        </w:rPr>
        <w:t>V roku 2014 sa KO Technik predstavil v rámci 17 koncertných vystúpení. Okrem samostatných verejných podujatí KO Technik zabezpečoval i sprievodný program v rámci podujatí jednotlivých fakúlt a katedier STU podľa ich požiadaviek. Komorný orchester TECHNIK sa v júni 2014 (6.</w:t>
      </w:r>
      <w:r w:rsidR="00C47018">
        <w:rPr>
          <w:sz w:val="28"/>
          <w:szCs w:val="28"/>
        </w:rPr>
        <w:t xml:space="preserve"> </w:t>
      </w:r>
      <w:r w:rsidRPr="00F0732E">
        <w:rPr>
          <w:sz w:val="28"/>
          <w:szCs w:val="28"/>
        </w:rPr>
        <w:t>6.</w:t>
      </w:r>
      <w:r w:rsidR="00C47018">
        <w:rPr>
          <w:sz w:val="28"/>
          <w:szCs w:val="28"/>
        </w:rPr>
        <w:t xml:space="preserve"> – </w:t>
      </w:r>
      <w:r w:rsidRPr="00F0732E">
        <w:rPr>
          <w:sz w:val="28"/>
          <w:szCs w:val="28"/>
        </w:rPr>
        <w:t>9.</w:t>
      </w:r>
      <w:r w:rsidR="00C47018">
        <w:rPr>
          <w:sz w:val="28"/>
          <w:szCs w:val="28"/>
        </w:rPr>
        <w:t xml:space="preserve"> </w:t>
      </w:r>
      <w:r w:rsidRPr="00F0732E">
        <w:rPr>
          <w:sz w:val="28"/>
          <w:szCs w:val="28"/>
        </w:rPr>
        <w:t>6.</w:t>
      </w:r>
      <w:r w:rsidR="00C47018">
        <w:rPr>
          <w:sz w:val="28"/>
          <w:szCs w:val="28"/>
        </w:rPr>
        <w:t xml:space="preserve"> </w:t>
      </w:r>
      <w:r w:rsidRPr="00F0732E">
        <w:rPr>
          <w:sz w:val="28"/>
          <w:szCs w:val="28"/>
        </w:rPr>
        <w:t>2014) zúčastnil festivalu "Festival Internationale de International de Musique Universitaire", v mestečku Belfort vo Francúzsku. Počas festivalu orchester vystúpil na dvoch celovečerných koncertoch v Katedrále v Belforte. Organizátori festivalu, hostia, ako aj poslucháči vysoko ocenili koncert KO Technik, a to nielen priamou reakciou počas a po koncerte, ale aj záujmom o diela skladateľa Mirka Krajčiho, o hudobný materiál k prípadnému naštudovaniu vo svojich orchestroch.</w:t>
      </w:r>
    </w:p>
    <w:p w:rsidR="00B51749" w:rsidRPr="00F0732E" w:rsidRDefault="00B51749" w:rsidP="00B51749">
      <w:pPr>
        <w:autoSpaceDE w:val="0"/>
        <w:autoSpaceDN w:val="0"/>
        <w:adjustRightInd w:val="0"/>
        <w:rPr>
          <w:sz w:val="28"/>
          <w:szCs w:val="28"/>
        </w:rPr>
      </w:pPr>
      <w:r w:rsidRPr="00F0732E">
        <w:rPr>
          <w:sz w:val="28"/>
          <w:szCs w:val="28"/>
        </w:rPr>
        <w:t>Uvedeného festivalu sa Technik zúčastnil naposledy v roku 2012 (za umeleckého vedenia Mgr.</w:t>
      </w:r>
      <w:r w:rsidR="00C47018">
        <w:rPr>
          <w:sz w:val="28"/>
          <w:szCs w:val="28"/>
        </w:rPr>
        <w:t xml:space="preserve"> </w:t>
      </w:r>
      <w:r w:rsidRPr="00F0732E">
        <w:rPr>
          <w:sz w:val="28"/>
          <w:szCs w:val="28"/>
        </w:rPr>
        <w:t>art Mirka Krajčiho).</w:t>
      </w:r>
      <w:r w:rsidR="00C47018">
        <w:rPr>
          <w:sz w:val="28"/>
          <w:szCs w:val="28"/>
        </w:rPr>
        <w:t xml:space="preserve"> </w:t>
      </w:r>
      <w:r w:rsidRPr="00F0732E">
        <w:rPr>
          <w:sz w:val="28"/>
          <w:szCs w:val="28"/>
        </w:rPr>
        <w:t>Z realizovaných koncertov k významným patrí aj koncert k 60. výročiu založenia súboru TECHNIK, ktorý sa konal 21.</w:t>
      </w:r>
      <w:r w:rsidR="00C47018">
        <w:rPr>
          <w:sz w:val="28"/>
          <w:szCs w:val="28"/>
        </w:rPr>
        <w:t xml:space="preserve"> </w:t>
      </w:r>
      <w:r w:rsidRPr="00F0732E">
        <w:rPr>
          <w:sz w:val="28"/>
          <w:szCs w:val="28"/>
        </w:rPr>
        <w:t>3.</w:t>
      </w:r>
      <w:r w:rsidR="00C47018">
        <w:rPr>
          <w:sz w:val="28"/>
          <w:szCs w:val="28"/>
        </w:rPr>
        <w:t xml:space="preserve"> </w:t>
      </w:r>
      <w:r w:rsidRPr="00F0732E">
        <w:rPr>
          <w:sz w:val="28"/>
          <w:szCs w:val="28"/>
        </w:rPr>
        <w:t>2014 v Slovenskom národnom divadle (nová budova), kde sa prezentovali všetky zložky súboru TECHNIK, t.</w:t>
      </w:r>
      <w:r w:rsidR="00C47018">
        <w:rPr>
          <w:sz w:val="28"/>
          <w:szCs w:val="28"/>
        </w:rPr>
        <w:t xml:space="preserve"> </w:t>
      </w:r>
      <w:r w:rsidRPr="00F0732E">
        <w:rPr>
          <w:sz w:val="28"/>
          <w:szCs w:val="28"/>
        </w:rPr>
        <w:t xml:space="preserve">j. Folklórny súbor TECHNIK, Komorný orchester technik a Spevácky zbor TECHNIK. </w:t>
      </w:r>
    </w:p>
    <w:p w:rsidR="00B51749" w:rsidRPr="00F0732E" w:rsidRDefault="00B51749" w:rsidP="00B51749">
      <w:pPr>
        <w:autoSpaceDE w:val="0"/>
        <w:autoSpaceDN w:val="0"/>
        <w:adjustRightInd w:val="0"/>
        <w:rPr>
          <w:sz w:val="28"/>
          <w:szCs w:val="28"/>
        </w:rPr>
      </w:pPr>
      <w:r w:rsidRPr="00F0732E">
        <w:rPr>
          <w:sz w:val="28"/>
          <w:szCs w:val="28"/>
        </w:rPr>
        <w:t>Počas roku 2014 pracovalo v súbore celkovo 27 členov.</w:t>
      </w:r>
    </w:p>
    <w:p w:rsidR="00B51749" w:rsidRPr="00F0732E" w:rsidRDefault="00B51749" w:rsidP="00B51749">
      <w:pPr>
        <w:rPr>
          <w:rFonts w:cs="Calibri"/>
          <w:sz w:val="28"/>
          <w:szCs w:val="28"/>
        </w:rPr>
      </w:pPr>
    </w:p>
    <w:p w:rsidR="00B51749" w:rsidRPr="00F0732E" w:rsidRDefault="00B51749" w:rsidP="00B51749">
      <w:pPr>
        <w:rPr>
          <w:sz w:val="28"/>
          <w:szCs w:val="28"/>
        </w:rPr>
      </w:pPr>
      <w:r w:rsidRPr="00F0732E">
        <w:rPr>
          <w:sz w:val="28"/>
          <w:szCs w:val="28"/>
        </w:rPr>
        <w:t>Všetky zložky súboru Technik v priebehu roka 2014 absolvovali 66 vystúpení.</w:t>
      </w:r>
    </w:p>
    <w:p w:rsidR="00B51749" w:rsidRPr="00F0732E" w:rsidRDefault="00B51749" w:rsidP="00B51749">
      <w:pPr>
        <w:pStyle w:val="Zkladntext"/>
        <w:spacing w:line="240" w:lineRule="auto"/>
        <w:rPr>
          <w:rFonts w:ascii="Cambria" w:hAnsi="Cambria"/>
          <w:color w:val="auto"/>
          <w:sz w:val="28"/>
          <w:szCs w:val="28"/>
        </w:rPr>
      </w:pPr>
    </w:p>
    <w:p w:rsidR="00B51749" w:rsidRPr="00F0732E" w:rsidRDefault="00B51749" w:rsidP="00B51749">
      <w:pPr>
        <w:pStyle w:val="Zkladntext"/>
        <w:spacing w:line="240" w:lineRule="auto"/>
        <w:rPr>
          <w:rFonts w:ascii="Cambria" w:hAnsi="Cambria"/>
          <w:color w:val="auto"/>
          <w:sz w:val="28"/>
          <w:szCs w:val="28"/>
        </w:rPr>
      </w:pPr>
      <w:r w:rsidRPr="00F0732E">
        <w:rPr>
          <w:rFonts w:ascii="Cambria" w:hAnsi="Cambria"/>
          <w:color w:val="auto"/>
          <w:sz w:val="28"/>
          <w:szCs w:val="28"/>
        </w:rPr>
        <w:t>Rozhodujúcou náplňou činnosti súboru bolo ud</w:t>
      </w:r>
      <w:r w:rsidR="00C47018">
        <w:rPr>
          <w:rFonts w:ascii="Cambria" w:hAnsi="Cambria"/>
          <w:color w:val="auto"/>
          <w:sz w:val="28"/>
          <w:szCs w:val="28"/>
        </w:rPr>
        <w:t>ržať dosiahnutú umeleckú úroveň,</w:t>
      </w:r>
      <w:r w:rsidRPr="00F0732E">
        <w:rPr>
          <w:rFonts w:ascii="Cambria" w:hAnsi="Cambria"/>
          <w:color w:val="auto"/>
          <w:sz w:val="28"/>
          <w:szCs w:val="28"/>
        </w:rPr>
        <w:t xml:space="preserve"> získať nových členov a udržať si priazeň publika. </w:t>
      </w:r>
    </w:p>
    <w:p w:rsidR="00B51749" w:rsidRPr="00F0732E" w:rsidRDefault="00B51749" w:rsidP="00B51749">
      <w:pPr>
        <w:pStyle w:val="Zkladntext"/>
        <w:spacing w:line="240" w:lineRule="auto"/>
        <w:rPr>
          <w:rFonts w:ascii="Cambria" w:hAnsi="Cambria"/>
          <w:color w:val="auto"/>
          <w:sz w:val="28"/>
          <w:szCs w:val="28"/>
        </w:rPr>
      </w:pPr>
    </w:p>
    <w:p w:rsidR="00B51749" w:rsidRPr="00F0732E" w:rsidRDefault="00B51749" w:rsidP="00B51749">
      <w:pPr>
        <w:rPr>
          <w:sz w:val="28"/>
          <w:szCs w:val="28"/>
        </w:rPr>
      </w:pPr>
    </w:p>
    <w:p w:rsidR="00B51749" w:rsidRPr="00F0732E" w:rsidRDefault="00B51749" w:rsidP="00B51749">
      <w:pPr>
        <w:pStyle w:val="Zkladntext"/>
        <w:spacing w:line="240" w:lineRule="auto"/>
        <w:jc w:val="left"/>
        <w:rPr>
          <w:rFonts w:ascii="Cambria" w:hAnsi="Cambria"/>
          <w:sz w:val="28"/>
          <w:szCs w:val="28"/>
        </w:rPr>
      </w:pPr>
    </w:p>
    <w:p w:rsidR="00B51749" w:rsidRPr="00F0732E" w:rsidRDefault="00B51749" w:rsidP="00B51749">
      <w:pPr>
        <w:pStyle w:val="Nadpis2"/>
        <w:rPr>
          <w:rFonts w:ascii="Cambria" w:hAnsi="Cambria"/>
          <w:color w:val="auto"/>
        </w:rPr>
      </w:pPr>
      <w:bookmarkStart w:id="59" w:name="_Toc413009360"/>
      <w:r w:rsidRPr="00F0732E">
        <w:rPr>
          <w:rFonts w:ascii="Cambria" w:hAnsi="Cambria"/>
          <w:color w:val="auto"/>
        </w:rPr>
        <w:t>Centrum akademického športu STU</w:t>
      </w:r>
      <w:bookmarkEnd w:id="59"/>
    </w:p>
    <w:p w:rsidR="00B51749" w:rsidRPr="00F0732E" w:rsidRDefault="00B51749" w:rsidP="00B51749">
      <w:pPr>
        <w:rPr>
          <w:color w:val="FF0000"/>
          <w:sz w:val="28"/>
          <w:szCs w:val="28"/>
          <w:lang w:eastAsia="cs-CZ"/>
        </w:rPr>
      </w:pPr>
    </w:p>
    <w:p w:rsidR="00B51749" w:rsidRPr="00F0732E" w:rsidRDefault="00B51749" w:rsidP="00B51749">
      <w:pPr>
        <w:rPr>
          <w:sz w:val="28"/>
          <w:szCs w:val="28"/>
        </w:rPr>
      </w:pPr>
      <w:r w:rsidRPr="00F0732E">
        <w:rPr>
          <w:sz w:val="28"/>
          <w:szCs w:val="28"/>
        </w:rPr>
        <w:t xml:space="preserve">Nezastupiteľné miesto v rámci športového vyžitia študentov má Účelové zariadenie Centrum akademického športu STU. Hlavným poslaním centra je poskytovanie všeobecne prospešných služieb v oblasti rozvoja športovo-kultúrnych hodnôt. </w:t>
      </w:r>
    </w:p>
    <w:p w:rsidR="00B51749" w:rsidRPr="00F0732E" w:rsidRDefault="00B51749" w:rsidP="00B51749">
      <w:pPr>
        <w:rPr>
          <w:rFonts w:cs="Courier New"/>
          <w:sz w:val="28"/>
          <w:szCs w:val="28"/>
          <w:shd w:val="clear" w:color="auto" w:fill="FFFFFF"/>
        </w:rPr>
      </w:pPr>
      <w:r w:rsidRPr="00F0732E">
        <w:rPr>
          <w:rFonts w:cs="Courier New"/>
          <w:color w:val="444444"/>
          <w:sz w:val="28"/>
          <w:szCs w:val="28"/>
        </w:rPr>
        <w:br/>
      </w:r>
      <w:r w:rsidRPr="00F0732E">
        <w:rPr>
          <w:rFonts w:cs="Courier New"/>
          <w:sz w:val="28"/>
          <w:szCs w:val="28"/>
          <w:shd w:val="clear" w:color="auto" w:fill="FFFFFF"/>
        </w:rPr>
        <w:t>V roku 2014 pokračovalo Centrum v rozširovaní športovísk. Z dotácie MŠVVaŠ SR</w:t>
      </w:r>
      <w:r w:rsidRPr="00F0732E">
        <w:rPr>
          <w:rFonts w:cs="Courier New"/>
          <w:sz w:val="28"/>
          <w:szCs w:val="28"/>
        </w:rPr>
        <w:t xml:space="preserve"> </w:t>
      </w:r>
      <w:r w:rsidRPr="00F0732E">
        <w:rPr>
          <w:rFonts w:cs="Courier New"/>
          <w:sz w:val="28"/>
          <w:szCs w:val="28"/>
          <w:shd w:val="clear" w:color="auto" w:fill="FFFFFF"/>
        </w:rPr>
        <w:t xml:space="preserve">pokračovali práce na rekonštrukcií telocvične Mladosť, kde bola vykonaná oprava osvetlenia v </w:t>
      </w:r>
      <w:r w:rsidR="00AF726A">
        <w:rPr>
          <w:rFonts w:cs="Courier New"/>
          <w:sz w:val="28"/>
          <w:szCs w:val="28"/>
          <w:shd w:val="clear" w:color="auto" w:fill="FFFFFF"/>
        </w:rPr>
        <w:t>hodnote</w:t>
      </w:r>
      <w:r w:rsidR="00C47018">
        <w:rPr>
          <w:rFonts w:cs="Courier New"/>
          <w:sz w:val="28"/>
          <w:szCs w:val="28"/>
          <w:shd w:val="clear" w:color="auto" w:fill="FFFFFF"/>
        </w:rPr>
        <w:t xml:space="preserve"> 18 tisíc eur. </w:t>
      </w:r>
    </w:p>
    <w:p w:rsidR="00B51749" w:rsidRPr="00F0732E" w:rsidRDefault="00B51749" w:rsidP="00B51749">
      <w:pPr>
        <w:rPr>
          <w:rStyle w:val="apple-converted-space"/>
          <w:rFonts w:cs="Courier New"/>
          <w:sz w:val="28"/>
          <w:szCs w:val="28"/>
          <w:shd w:val="clear" w:color="auto" w:fill="FFFFFF"/>
        </w:rPr>
      </w:pPr>
      <w:r w:rsidRPr="00F0732E">
        <w:rPr>
          <w:rFonts w:cs="Courier New"/>
          <w:sz w:val="28"/>
          <w:szCs w:val="28"/>
          <w:shd w:val="clear" w:color="auto" w:fill="FFFFFF"/>
        </w:rPr>
        <w:t>Z vlastných prostriedkov univerzity bolo vybudované centrum halového veslovania s trenažérmi.</w:t>
      </w:r>
      <w:r w:rsidRPr="00F0732E">
        <w:rPr>
          <w:rStyle w:val="apple-converted-space"/>
          <w:rFonts w:cs="Courier New"/>
          <w:sz w:val="28"/>
          <w:szCs w:val="28"/>
          <w:shd w:val="clear" w:color="auto" w:fill="FFFFFF"/>
        </w:rPr>
        <w:t> </w:t>
      </w:r>
    </w:p>
    <w:p w:rsidR="00B51749" w:rsidRPr="00F0732E" w:rsidRDefault="00B51749" w:rsidP="00B51749">
      <w:pPr>
        <w:rPr>
          <w:rStyle w:val="apple-converted-space"/>
          <w:rFonts w:cs="Courier New"/>
          <w:sz w:val="28"/>
          <w:szCs w:val="28"/>
          <w:shd w:val="clear" w:color="auto" w:fill="FFFFFF"/>
        </w:rPr>
      </w:pPr>
    </w:p>
    <w:p w:rsidR="00B51749" w:rsidRPr="00F0732E" w:rsidRDefault="00B51749" w:rsidP="00B51749">
      <w:pPr>
        <w:rPr>
          <w:rFonts w:cs="Courier New"/>
          <w:sz w:val="28"/>
          <w:szCs w:val="28"/>
        </w:rPr>
      </w:pPr>
      <w:r w:rsidRPr="00F0732E">
        <w:rPr>
          <w:rFonts w:cs="Courier New"/>
          <w:b/>
          <w:sz w:val="28"/>
          <w:szCs w:val="28"/>
        </w:rPr>
        <w:t>STU zaviedlo centrálny systém rezervácie športovísk pod názvom</w:t>
      </w:r>
      <w:r w:rsidR="00AF726A">
        <w:rPr>
          <w:rFonts w:cs="Courier New"/>
          <w:b/>
          <w:sz w:val="28"/>
          <w:szCs w:val="28"/>
        </w:rPr>
        <w:t xml:space="preserve"> Klubová karta (k</w:t>
      </w:r>
      <w:r w:rsidRPr="00F0732E">
        <w:rPr>
          <w:rFonts w:cs="Courier New"/>
          <w:b/>
          <w:sz w:val="28"/>
          <w:szCs w:val="28"/>
        </w:rPr>
        <w:t>arta.stuba.sk</w:t>
      </w:r>
      <w:r w:rsidR="00AF726A">
        <w:rPr>
          <w:rFonts w:cs="Courier New"/>
          <w:b/>
          <w:sz w:val="28"/>
          <w:szCs w:val="28"/>
        </w:rPr>
        <w:t>)</w:t>
      </w:r>
      <w:r w:rsidRPr="00F0732E">
        <w:rPr>
          <w:rFonts w:cs="Courier New"/>
          <w:b/>
          <w:sz w:val="28"/>
          <w:szCs w:val="28"/>
        </w:rPr>
        <w:t>.</w:t>
      </w:r>
      <w:r w:rsidRPr="00F0732E">
        <w:rPr>
          <w:rFonts w:cs="Courier New"/>
          <w:sz w:val="28"/>
          <w:szCs w:val="28"/>
        </w:rPr>
        <w:t xml:space="preserve"> Pre všetkých študentov STU je tak prístupných viac ako 28 rôznych typov pohybových aktivít v celkovom rozsahu 60 tisíc osobohodín, ktoré si študenti objednávajú online.</w:t>
      </w:r>
    </w:p>
    <w:p w:rsidR="00B51749" w:rsidRPr="00F0732E" w:rsidRDefault="00B51749" w:rsidP="00B51749">
      <w:pPr>
        <w:rPr>
          <w:rFonts w:cs="Courier New"/>
          <w:sz w:val="28"/>
          <w:szCs w:val="28"/>
        </w:rPr>
      </w:pPr>
    </w:p>
    <w:p w:rsidR="00B51749" w:rsidRPr="00F0732E" w:rsidRDefault="00B51749" w:rsidP="00B51749">
      <w:pPr>
        <w:rPr>
          <w:rFonts w:cs="Courier New"/>
          <w:sz w:val="28"/>
          <w:szCs w:val="28"/>
        </w:rPr>
      </w:pPr>
      <w:r w:rsidRPr="00F0732E">
        <w:rPr>
          <w:rFonts w:cs="Courier New"/>
          <w:sz w:val="28"/>
          <w:szCs w:val="28"/>
        </w:rPr>
        <w:t xml:space="preserve">Vo vrcholovom športe dosahujú športovci STU dlhodobo vynikajúce výsledky vo volejbale žien, basketbale mužov a hokeji mužov. Všetky tieto tímy STU boli podporované z prostriedkov STU. Družstvo volejbalistiek STU vedie 1. Slovenskú volejbalovú ligu a na európskom podujatí Euro Roma 2014 získalo prvenstvo medzi tímami všetkých zúčastnených európskych univerzít. Hokejový tím STU sa úspešne zapojil do súťaží Univerzitnej hokejovej ligy v rámci stredoeurópskeho priestoru. </w:t>
      </w:r>
    </w:p>
    <w:p w:rsidR="00C92614" w:rsidRDefault="00B51749" w:rsidP="00B51749">
      <w:pPr>
        <w:rPr>
          <w:rFonts w:cs="Courier New"/>
          <w:sz w:val="28"/>
          <w:szCs w:val="28"/>
        </w:rPr>
      </w:pPr>
      <w:r w:rsidRPr="00C92614">
        <w:rPr>
          <w:rFonts w:cs="Courier New"/>
          <w:sz w:val="28"/>
          <w:szCs w:val="28"/>
        </w:rPr>
        <w:t>Dlhodobo dosahujú študenti STU vynikajúce úspechy v športových disciplínach</w:t>
      </w:r>
      <w:r w:rsidR="00C47018" w:rsidRPr="00C92614">
        <w:rPr>
          <w:rFonts w:cs="Courier New"/>
          <w:sz w:val="28"/>
          <w:szCs w:val="28"/>
        </w:rPr>
        <w:t>,</w:t>
      </w:r>
      <w:r w:rsidRPr="00C92614">
        <w:rPr>
          <w:rFonts w:cs="Courier New"/>
          <w:sz w:val="28"/>
          <w:szCs w:val="28"/>
        </w:rPr>
        <w:t xml:space="preserve"> ako je streľba, veslovanie, ale i cyklistika.</w:t>
      </w:r>
    </w:p>
    <w:p w:rsidR="00B51749" w:rsidRPr="00C92614" w:rsidRDefault="00B51749" w:rsidP="00B51749">
      <w:pPr>
        <w:rPr>
          <w:rFonts w:cs="Courier New"/>
          <w:sz w:val="28"/>
          <w:szCs w:val="28"/>
          <w:shd w:val="clear" w:color="auto" w:fill="FFFFFF"/>
        </w:rPr>
      </w:pPr>
    </w:p>
    <w:p w:rsidR="00B51749" w:rsidRPr="00C92614" w:rsidRDefault="00B51749" w:rsidP="00C92614">
      <w:pPr>
        <w:rPr>
          <w:b/>
          <w:bCs/>
          <w:sz w:val="28"/>
          <w:szCs w:val="28"/>
        </w:rPr>
      </w:pPr>
      <w:r w:rsidRPr="00C92614">
        <w:rPr>
          <w:rFonts w:cs="Courier New"/>
          <w:sz w:val="28"/>
          <w:szCs w:val="28"/>
          <w:shd w:val="clear" w:color="auto" w:fill="FFFFFF"/>
        </w:rPr>
        <w:t>STU zorganizovalo viaceré športové podujatia, ktoré prilákali aj verejnosť,</w:t>
      </w:r>
      <w:r w:rsidRPr="00C92614">
        <w:rPr>
          <w:rFonts w:cs="Courier New"/>
          <w:sz w:val="28"/>
          <w:szCs w:val="28"/>
        </w:rPr>
        <w:t xml:space="preserve"> </w:t>
      </w:r>
      <w:r w:rsidRPr="00C92614">
        <w:rPr>
          <w:rFonts w:cs="Courier New"/>
          <w:sz w:val="28"/>
          <w:szCs w:val="28"/>
          <w:shd w:val="clear" w:color="auto" w:fill="FFFFFF"/>
        </w:rPr>
        <w:t>najmä úspešný druhý ročník Univerzitnej regaty – Bratislava spolu s Dňom bratislavských</w:t>
      </w:r>
      <w:r w:rsidRPr="00C92614">
        <w:rPr>
          <w:rFonts w:cs="Courier New"/>
          <w:sz w:val="28"/>
          <w:szCs w:val="28"/>
        </w:rPr>
        <w:t xml:space="preserve"> </w:t>
      </w:r>
      <w:r w:rsidRPr="00C92614">
        <w:rPr>
          <w:rFonts w:cs="Courier New"/>
          <w:sz w:val="28"/>
          <w:szCs w:val="28"/>
          <w:shd w:val="clear" w:color="auto" w:fill="FFFFFF"/>
        </w:rPr>
        <w:t>vysokoškolákov, na ktorom sa zúčastnili študenti všetkých 7 bratislavských univerzít.</w:t>
      </w:r>
    </w:p>
    <w:p w:rsidR="00B51749" w:rsidRPr="00F0732E" w:rsidRDefault="00B51749" w:rsidP="00B51749">
      <w:pPr>
        <w:rPr>
          <w:b/>
          <w:bCs/>
          <w:color w:val="FF0000"/>
          <w:sz w:val="28"/>
          <w:szCs w:val="28"/>
        </w:rPr>
      </w:pPr>
    </w:p>
    <w:p w:rsidR="00B51749" w:rsidRPr="00F0732E" w:rsidRDefault="00B51749" w:rsidP="00B51749">
      <w:pPr>
        <w:pStyle w:val="Nadpis1"/>
        <w:rPr>
          <w:rFonts w:ascii="Cambria" w:hAnsi="Cambria"/>
          <w:color w:val="auto"/>
          <w:sz w:val="28"/>
          <w:szCs w:val="28"/>
        </w:rPr>
      </w:pPr>
      <w:bookmarkStart w:id="60" w:name="_Toc413009361"/>
      <w:r w:rsidRPr="00F0732E">
        <w:rPr>
          <w:rFonts w:ascii="Cambria" w:hAnsi="Cambria"/>
          <w:color w:val="auto"/>
          <w:sz w:val="28"/>
          <w:szCs w:val="28"/>
        </w:rPr>
        <w:t>Rozvoj vysokej školy</w:t>
      </w:r>
      <w:bookmarkEnd w:id="60"/>
    </w:p>
    <w:p w:rsidR="00B51749" w:rsidRPr="00F0732E" w:rsidRDefault="00B51749" w:rsidP="00B51749">
      <w:pPr>
        <w:rPr>
          <w:color w:val="FF0000"/>
          <w:sz w:val="28"/>
          <w:szCs w:val="28"/>
        </w:rPr>
      </w:pPr>
    </w:p>
    <w:p w:rsidR="00B51749" w:rsidRPr="00F0732E" w:rsidRDefault="00B51749" w:rsidP="00B51749">
      <w:pPr>
        <w:rPr>
          <w:sz w:val="28"/>
          <w:szCs w:val="28"/>
        </w:rPr>
      </w:pPr>
      <w:r w:rsidRPr="00F0732E">
        <w:rPr>
          <w:sz w:val="28"/>
          <w:szCs w:val="28"/>
        </w:rPr>
        <w:t xml:space="preserve">Slovenská technická univerzita pokračovala v roku 2014 s realizáciou dôležitých rozvojových projektov – s budovaním </w:t>
      </w:r>
      <w:r w:rsidRPr="00F0732E">
        <w:rPr>
          <w:b/>
          <w:sz w:val="28"/>
          <w:szCs w:val="28"/>
        </w:rPr>
        <w:t>Univerzitného vedeckého parku Science City v Bratislave a Univerzitného vedeckého parku Cambo v Trnave.</w:t>
      </w:r>
      <w:r w:rsidRPr="00F0732E">
        <w:rPr>
          <w:sz w:val="28"/>
          <w:szCs w:val="28"/>
        </w:rPr>
        <w:t xml:space="preserve"> Univerzita v rámci projektu postupne obnovuje budovy fakúlt a vedecké laboratóri</w:t>
      </w:r>
      <w:r w:rsidR="00C47018">
        <w:rPr>
          <w:sz w:val="28"/>
          <w:szCs w:val="28"/>
        </w:rPr>
        <w:t>á</w:t>
      </w:r>
      <w:r w:rsidRPr="00F0732E">
        <w:rPr>
          <w:sz w:val="28"/>
          <w:szCs w:val="28"/>
        </w:rPr>
        <w:t xml:space="preserve">, ktoré zariaďuje špičkovými prístrojmi. Niektoré vedecké pracoviská budú unikátne v európskom rozmere. Dôraz kladú oba projekty na </w:t>
      </w:r>
      <w:r w:rsidRPr="00F0732E">
        <w:rPr>
          <w:bCs/>
          <w:sz w:val="28"/>
          <w:szCs w:val="28"/>
        </w:rPr>
        <w:t>podporu transferu nových poznatkov do priemyselnej praxe</w:t>
      </w:r>
      <w:r w:rsidRPr="00F0732E">
        <w:rPr>
          <w:sz w:val="28"/>
          <w:szCs w:val="28"/>
        </w:rPr>
        <w:t xml:space="preserve">. </w:t>
      </w:r>
    </w:p>
    <w:p w:rsidR="00B51749" w:rsidRPr="00F0732E" w:rsidRDefault="00B51749" w:rsidP="00B51749">
      <w:pPr>
        <w:rPr>
          <w:sz w:val="28"/>
          <w:szCs w:val="28"/>
        </w:rPr>
      </w:pPr>
    </w:p>
    <w:p w:rsidR="00B51749" w:rsidRPr="00F0732E" w:rsidRDefault="00B51749" w:rsidP="00B51749">
      <w:pPr>
        <w:rPr>
          <w:rFonts w:cs="Courier New"/>
          <w:sz w:val="28"/>
          <w:szCs w:val="28"/>
          <w:shd w:val="clear" w:color="auto" w:fill="FFFFFF"/>
        </w:rPr>
      </w:pPr>
      <w:r w:rsidRPr="00F0732E">
        <w:rPr>
          <w:rFonts w:cs="Courier New"/>
          <w:sz w:val="28"/>
          <w:szCs w:val="28"/>
          <w:shd w:val="clear" w:color="auto" w:fill="FFFFFF"/>
        </w:rPr>
        <w:t>V rámci Univerzitného vedeckého parku STU Bratislava v lokalite centrum</w:t>
      </w:r>
      <w:r w:rsidRPr="00F0732E">
        <w:rPr>
          <w:rFonts w:cs="Courier New"/>
          <w:sz w:val="28"/>
          <w:szCs w:val="28"/>
        </w:rPr>
        <w:t xml:space="preserve"> </w:t>
      </w:r>
      <w:r w:rsidRPr="00F0732E">
        <w:rPr>
          <w:rFonts w:cs="Courier New"/>
          <w:sz w:val="28"/>
          <w:szCs w:val="28"/>
          <w:shd w:val="clear" w:color="auto" w:fill="FFFFFF"/>
        </w:rPr>
        <w:t>Bratislavy, v areáli Námestie slobody/Radlinského ulica boli ukončené stavebn</w:t>
      </w:r>
      <w:r w:rsidR="00C47018">
        <w:rPr>
          <w:rFonts w:cs="Courier New"/>
          <w:sz w:val="28"/>
          <w:szCs w:val="28"/>
          <w:shd w:val="clear" w:color="auto" w:fill="FFFFFF"/>
        </w:rPr>
        <w:t>é</w:t>
      </w:r>
      <w:r w:rsidRPr="00F0732E">
        <w:rPr>
          <w:rFonts w:cs="Courier New"/>
          <w:sz w:val="28"/>
          <w:szCs w:val="28"/>
          <w:shd w:val="clear" w:color="auto" w:fill="FFFFFF"/>
        </w:rPr>
        <w:t xml:space="preserve"> rekonštrukcie laboratórií na Stavebnej fakulte a Fakulte architektúry v celkovom náklade prevyšujúcom 300 tisíc eur, hradených zo štrukturálnych fondov. Súčasne pokračovalo obstarávanie a zariaďovanie laboratórií prístrojmi.</w:t>
      </w:r>
    </w:p>
    <w:p w:rsidR="00B51749" w:rsidRPr="00F0732E" w:rsidRDefault="00B51749" w:rsidP="00B51749">
      <w:pPr>
        <w:rPr>
          <w:rFonts w:cs="Courier New"/>
          <w:sz w:val="28"/>
          <w:szCs w:val="28"/>
          <w:shd w:val="clear" w:color="auto" w:fill="FFFFFF"/>
        </w:rPr>
      </w:pPr>
      <w:r w:rsidRPr="00F0732E">
        <w:rPr>
          <w:rFonts w:cs="Courier New"/>
          <w:sz w:val="28"/>
          <w:szCs w:val="28"/>
        </w:rPr>
        <w:br/>
      </w:r>
      <w:r w:rsidRPr="00F0732E">
        <w:rPr>
          <w:rFonts w:cs="Courier New"/>
          <w:sz w:val="28"/>
          <w:szCs w:val="28"/>
          <w:shd w:val="clear" w:color="auto" w:fill="FFFFFF"/>
        </w:rPr>
        <w:t>V Univerzitnom vedeckom parku STU v Trnave výrazne pokročili práce pri stavbe budovy materiálového inžinierstva, pre iónové a plazmové technológie</w:t>
      </w:r>
      <w:r w:rsidR="00C47018">
        <w:rPr>
          <w:rFonts w:cs="Courier New"/>
          <w:sz w:val="28"/>
          <w:szCs w:val="28"/>
          <w:shd w:val="clear" w:color="auto" w:fill="FFFFFF"/>
        </w:rPr>
        <w:t>,</w:t>
      </w:r>
      <w:r w:rsidRPr="00F0732E">
        <w:rPr>
          <w:rFonts w:cs="Courier New"/>
          <w:sz w:val="28"/>
          <w:szCs w:val="28"/>
          <w:shd w:val="clear" w:color="auto" w:fill="FFFFFF"/>
        </w:rPr>
        <w:t xml:space="preserve"> a rovnako obstarávanie a zariaďovanie laboratórií prístrojmi .</w:t>
      </w:r>
    </w:p>
    <w:p w:rsidR="00A70F92" w:rsidRDefault="00B51749" w:rsidP="00B51749">
      <w:pPr>
        <w:rPr>
          <w:rFonts w:cs="Courier New"/>
          <w:sz w:val="28"/>
          <w:szCs w:val="28"/>
          <w:shd w:val="clear" w:color="auto" w:fill="FFFFFF"/>
        </w:rPr>
      </w:pPr>
      <w:r w:rsidRPr="00F0732E">
        <w:rPr>
          <w:rFonts w:cs="Courier New"/>
          <w:sz w:val="28"/>
          <w:szCs w:val="28"/>
        </w:rPr>
        <w:t xml:space="preserve"> </w:t>
      </w:r>
      <w:r w:rsidRPr="00F0732E">
        <w:rPr>
          <w:rFonts w:cs="Courier New"/>
          <w:sz w:val="28"/>
          <w:szCs w:val="28"/>
        </w:rPr>
        <w:br/>
      </w:r>
      <w:r w:rsidRPr="00F0732E">
        <w:rPr>
          <w:rFonts w:cs="Courier New"/>
          <w:sz w:val="28"/>
          <w:szCs w:val="28"/>
          <w:shd w:val="clear" w:color="auto" w:fill="FFFFFF"/>
        </w:rPr>
        <w:t>Na Fakulte informatiky a informačných technológií v Mlynskej doline v Bratislave sa začali práce pri budovaní dvoch veľkých prednáškových sál s kapacitou 600 študentov v celkovom objeme 1,2 mil.</w:t>
      </w:r>
      <w:r w:rsidR="00A70F92">
        <w:rPr>
          <w:rFonts w:cs="Courier New"/>
          <w:sz w:val="28"/>
          <w:szCs w:val="28"/>
          <w:shd w:val="clear" w:color="auto" w:fill="FFFFFF"/>
        </w:rPr>
        <w:t xml:space="preserve"> eur.</w:t>
      </w:r>
    </w:p>
    <w:p w:rsidR="00B51749" w:rsidRPr="00F0732E" w:rsidRDefault="00B51749" w:rsidP="00B51749">
      <w:pPr>
        <w:rPr>
          <w:rStyle w:val="apple-converted-space"/>
          <w:rFonts w:cs="Courier New"/>
          <w:sz w:val="28"/>
          <w:szCs w:val="28"/>
          <w:shd w:val="clear" w:color="auto" w:fill="FFFFFF"/>
        </w:rPr>
      </w:pPr>
      <w:r w:rsidRPr="00F0732E">
        <w:rPr>
          <w:rFonts w:cs="Courier New"/>
          <w:sz w:val="28"/>
          <w:szCs w:val="28"/>
        </w:rPr>
        <w:br/>
      </w:r>
      <w:r w:rsidRPr="00F0732E">
        <w:rPr>
          <w:rFonts w:cs="Courier New"/>
          <w:sz w:val="28"/>
          <w:szCs w:val="28"/>
          <w:shd w:val="clear" w:color="auto" w:fill="FFFFFF"/>
        </w:rPr>
        <w:t>V roku 2014 pokračovalo Účelové zariadenie študentské domovy a jedálne STU</w:t>
      </w:r>
      <w:r w:rsidRPr="00F0732E">
        <w:rPr>
          <w:rFonts w:cs="Courier New"/>
          <w:sz w:val="28"/>
          <w:szCs w:val="28"/>
        </w:rPr>
        <w:t xml:space="preserve"> </w:t>
      </w:r>
      <w:r w:rsidRPr="00F0732E">
        <w:rPr>
          <w:rFonts w:cs="Courier New"/>
          <w:sz w:val="28"/>
          <w:szCs w:val="28"/>
          <w:shd w:val="clear" w:color="auto" w:fill="FFFFFF"/>
        </w:rPr>
        <w:t xml:space="preserve">s </w:t>
      </w:r>
      <w:r w:rsidRPr="00F0732E">
        <w:rPr>
          <w:rFonts w:cs="Courier New"/>
          <w:b/>
          <w:sz w:val="28"/>
          <w:szCs w:val="28"/>
          <w:shd w:val="clear" w:color="auto" w:fill="FFFFFF"/>
        </w:rPr>
        <w:t>opravou a rekonštrukciu študentských domovov</w:t>
      </w:r>
      <w:r w:rsidRPr="00F0732E">
        <w:rPr>
          <w:rFonts w:cs="Courier New"/>
          <w:sz w:val="28"/>
          <w:szCs w:val="28"/>
          <w:shd w:val="clear" w:color="auto" w:fill="FFFFFF"/>
        </w:rPr>
        <w:t xml:space="preserve"> vo výške 1,1 mil eur zo zdrojov STU a 0,5 mil eur </w:t>
      </w:r>
      <w:r w:rsidR="00A70F92">
        <w:rPr>
          <w:rFonts w:cs="Courier New"/>
          <w:sz w:val="28"/>
          <w:szCs w:val="28"/>
          <w:shd w:val="clear" w:color="auto" w:fill="FFFFFF"/>
        </w:rPr>
        <w:t xml:space="preserve">z </w:t>
      </w:r>
      <w:r w:rsidRPr="00F0732E">
        <w:rPr>
          <w:rFonts w:cs="Courier New"/>
          <w:sz w:val="28"/>
          <w:szCs w:val="28"/>
          <w:shd w:val="clear" w:color="auto" w:fill="FFFFFF"/>
        </w:rPr>
        <w:t>kapitálovej dotácie z MŠVVaŠ SR. Ku koncu roka 2014 začala kolaudácia a záverečné dokončovacie práce na rekonštrukcii internátov:  </w:t>
      </w:r>
      <w:r w:rsidRPr="00F0732E">
        <w:rPr>
          <w:rFonts w:cs="Courier New"/>
          <w:sz w:val="28"/>
          <w:szCs w:val="28"/>
        </w:rPr>
        <w:br/>
      </w:r>
      <w:r w:rsidRPr="00F0732E">
        <w:rPr>
          <w:rFonts w:cs="Courier New"/>
          <w:sz w:val="28"/>
          <w:szCs w:val="28"/>
          <w:shd w:val="clear" w:color="auto" w:fill="FFFFFF"/>
        </w:rPr>
        <w:t>- oprava sociálnych zariadení ŠD Jura Hronca – 1. etapa,</w:t>
      </w:r>
      <w:r w:rsidRPr="00F0732E">
        <w:rPr>
          <w:rFonts w:cs="Courier New"/>
          <w:sz w:val="28"/>
          <w:szCs w:val="28"/>
        </w:rPr>
        <w:br/>
      </w:r>
      <w:r w:rsidRPr="00F0732E">
        <w:rPr>
          <w:rFonts w:cs="Courier New"/>
          <w:sz w:val="28"/>
          <w:szCs w:val="28"/>
          <w:shd w:val="clear" w:color="auto" w:fill="FFFFFF"/>
        </w:rPr>
        <w:t xml:space="preserve">- oprava strechy a fasády ŠD Mladá </w:t>
      </w:r>
      <w:r w:rsidR="00A70F92">
        <w:rPr>
          <w:rFonts w:cs="Courier New"/>
          <w:sz w:val="28"/>
          <w:szCs w:val="28"/>
          <w:shd w:val="clear" w:color="auto" w:fill="FFFFFF"/>
        </w:rPr>
        <w:t>g</w:t>
      </w:r>
      <w:r w:rsidRPr="00F0732E">
        <w:rPr>
          <w:rFonts w:cs="Courier New"/>
          <w:sz w:val="28"/>
          <w:szCs w:val="28"/>
          <w:shd w:val="clear" w:color="auto" w:fill="FFFFFF"/>
        </w:rPr>
        <w:t>arda – 1. etapa,</w:t>
      </w:r>
      <w:r w:rsidRPr="00F0732E">
        <w:rPr>
          <w:rStyle w:val="apple-converted-space"/>
          <w:rFonts w:cs="Courier New"/>
          <w:sz w:val="28"/>
          <w:szCs w:val="28"/>
          <w:shd w:val="clear" w:color="auto" w:fill="FFFFFF"/>
        </w:rPr>
        <w:t> </w:t>
      </w:r>
      <w:r w:rsidRPr="00F0732E">
        <w:rPr>
          <w:rFonts w:cs="Courier New"/>
          <w:sz w:val="28"/>
          <w:szCs w:val="28"/>
        </w:rPr>
        <w:br/>
      </w:r>
      <w:r w:rsidRPr="00F0732E">
        <w:rPr>
          <w:rFonts w:cs="Courier New"/>
          <w:sz w:val="28"/>
          <w:szCs w:val="28"/>
          <w:shd w:val="clear" w:color="auto" w:fill="FFFFFF"/>
        </w:rPr>
        <w:t>- komplexná oprava izieb a sociálnych zariadení ŠD Mladosť – 1. etapa.</w:t>
      </w:r>
      <w:r w:rsidRPr="00F0732E">
        <w:rPr>
          <w:rStyle w:val="apple-converted-space"/>
          <w:rFonts w:cs="Courier New"/>
          <w:sz w:val="28"/>
          <w:szCs w:val="28"/>
          <w:shd w:val="clear" w:color="auto" w:fill="FFFFFF"/>
        </w:rPr>
        <w:t> </w:t>
      </w:r>
    </w:p>
    <w:p w:rsidR="00B51749" w:rsidRPr="00F0732E" w:rsidRDefault="00B51749" w:rsidP="00B51749">
      <w:pPr>
        <w:rPr>
          <w:rStyle w:val="apple-converted-space"/>
          <w:rFonts w:cs="Courier New"/>
          <w:sz w:val="28"/>
          <w:szCs w:val="28"/>
          <w:shd w:val="clear" w:color="auto" w:fill="FFFFFF"/>
        </w:rPr>
      </w:pPr>
    </w:p>
    <w:p w:rsidR="00B51749" w:rsidRPr="00F0732E" w:rsidRDefault="00B51749" w:rsidP="00B51749">
      <w:pPr>
        <w:rPr>
          <w:b/>
          <w:sz w:val="28"/>
          <w:szCs w:val="28"/>
        </w:rPr>
      </w:pPr>
      <w:r w:rsidRPr="00F0732E">
        <w:rPr>
          <w:b/>
          <w:sz w:val="28"/>
          <w:szCs w:val="28"/>
        </w:rPr>
        <w:t>Aktuálna situácia v rekonštrukciách ŠD:</w:t>
      </w:r>
    </w:p>
    <w:p w:rsidR="00B51749" w:rsidRPr="00F0732E" w:rsidRDefault="00B51749" w:rsidP="00B51749">
      <w:pPr>
        <w:rPr>
          <w:sz w:val="28"/>
          <w:szCs w:val="28"/>
        </w:rPr>
      </w:pPr>
      <w:r w:rsidRPr="00F0732E">
        <w:rPr>
          <w:b/>
          <w:sz w:val="28"/>
          <w:szCs w:val="28"/>
        </w:rPr>
        <w:t xml:space="preserve">ŠD J. Hronca: </w:t>
      </w:r>
      <w:r w:rsidRPr="00F0732E">
        <w:rPr>
          <w:sz w:val="28"/>
          <w:szCs w:val="28"/>
        </w:rPr>
        <w:t>na internáte bola ukončená</w:t>
      </w:r>
      <w:r w:rsidRPr="00F0732E">
        <w:rPr>
          <w:b/>
          <w:sz w:val="28"/>
          <w:szCs w:val="28"/>
        </w:rPr>
        <w:t xml:space="preserve"> </w:t>
      </w:r>
      <w:r w:rsidRPr="00F0732E">
        <w:rPr>
          <w:sz w:val="28"/>
          <w:szCs w:val="28"/>
        </w:rPr>
        <w:t>kompletná rekonštrukcia jedálne a kuchyne. Prebehlo zatep</w:t>
      </w:r>
      <w:r w:rsidR="00A70F92">
        <w:rPr>
          <w:sz w:val="28"/>
          <w:szCs w:val="28"/>
        </w:rPr>
        <w:t>ľ</w:t>
      </w:r>
      <w:r w:rsidRPr="00F0732E">
        <w:rPr>
          <w:sz w:val="28"/>
          <w:szCs w:val="28"/>
        </w:rPr>
        <w:t xml:space="preserve">ovanie a obnova fasády internátu. </w:t>
      </w:r>
      <w:r w:rsidRPr="00F0732E">
        <w:rPr>
          <w:sz w:val="28"/>
          <w:szCs w:val="28"/>
        </w:rPr>
        <w:lastRenderedPageBreak/>
        <w:t xml:space="preserve">V roku 2012 boli vymenené výťahy v celom ŠD. V roku 2013 začala obnova </w:t>
      </w:r>
      <w:r w:rsidR="00A70F92" w:rsidRPr="00F0732E">
        <w:rPr>
          <w:sz w:val="28"/>
          <w:szCs w:val="28"/>
        </w:rPr>
        <w:t>stúpačiek</w:t>
      </w:r>
      <w:r w:rsidRPr="00F0732E">
        <w:rPr>
          <w:sz w:val="28"/>
          <w:szCs w:val="28"/>
        </w:rPr>
        <w:t>, sociáln</w:t>
      </w:r>
      <w:r w:rsidR="00A70F92">
        <w:rPr>
          <w:sz w:val="28"/>
          <w:szCs w:val="28"/>
        </w:rPr>
        <w:t>y</w:t>
      </w:r>
      <w:r w:rsidRPr="00F0732E">
        <w:rPr>
          <w:sz w:val="28"/>
          <w:szCs w:val="28"/>
        </w:rPr>
        <w:t>ch zariadení a izieb vrátane ich vybavenia novým nábytkom. Tieto práce v prvej etape prebiehajú zatiaľ na časti bloku B.</w:t>
      </w:r>
    </w:p>
    <w:p w:rsidR="00B51749" w:rsidRPr="00F0732E" w:rsidRDefault="00B51749" w:rsidP="00B51749">
      <w:pPr>
        <w:rPr>
          <w:sz w:val="28"/>
          <w:szCs w:val="28"/>
        </w:rPr>
      </w:pPr>
      <w:r w:rsidRPr="00F0732E">
        <w:rPr>
          <w:b/>
          <w:sz w:val="28"/>
          <w:szCs w:val="28"/>
        </w:rPr>
        <w:t>ŠD Mladosť</w:t>
      </w:r>
      <w:r w:rsidRPr="00F0732E">
        <w:rPr>
          <w:sz w:val="28"/>
          <w:szCs w:val="28"/>
        </w:rPr>
        <w:t xml:space="preserve">: V roku 2013 začala kompletná obnova izieb vrátane ich rozšírenia a obnovy sociálnych zariadení na jednom zo 4 blokov – bloku B. </w:t>
      </w:r>
    </w:p>
    <w:p w:rsidR="00B51749" w:rsidRPr="00F0732E" w:rsidRDefault="00B51749" w:rsidP="00B51749">
      <w:pPr>
        <w:rPr>
          <w:sz w:val="28"/>
          <w:szCs w:val="28"/>
        </w:rPr>
      </w:pPr>
      <w:r w:rsidRPr="00F0732E">
        <w:rPr>
          <w:b/>
          <w:sz w:val="28"/>
          <w:szCs w:val="28"/>
        </w:rPr>
        <w:t xml:space="preserve">ŠD Mladá </w:t>
      </w:r>
      <w:r w:rsidR="00A70F92">
        <w:rPr>
          <w:b/>
          <w:sz w:val="28"/>
          <w:szCs w:val="28"/>
        </w:rPr>
        <w:t>g</w:t>
      </w:r>
      <w:r w:rsidRPr="00F0732E">
        <w:rPr>
          <w:b/>
          <w:sz w:val="28"/>
          <w:szCs w:val="28"/>
        </w:rPr>
        <w:t xml:space="preserve">arda: </w:t>
      </w:r>
      <w:r w:rsidRPr="00F0732E">
        <w:rPr>
          <w:sz w:val="28"/>
          <w:szCs w:val="28"/>
        </w:rPr>
        <w:t>Zrekonštruovaná bola jedáleň, obnovená fasáda a zrekonštruovaná strecha takmer na všetkých blokoch internátu (na 6 z 10 blokov). Pomaly prebieha obnova izieb a soc. zariadení a zariaďovanie izieb novým nábytkom (zatiaľ blok H).</w:t>
      </w:r>
    </w:p>
    <w:p w:rsidR="00B51749" w:rsidRPr="00F0732E" w:rsidRDefault="00B51749" w:rsidP="00B51749">
      <w:pPr>
        <w:rPr>
          <w:sz w:val="28"/>
          <w:szCs w:val="28"/>
        </w:rPr>
      </w:pPr>
    </w:p>
    <w:p w:rsidR="00B51749" w:rsidRPr="00F0732E" w:rsidRDefault="00B51749" w:rsidP="00B51749">
      <w:pPr>
        <w:rPr>
          <w:sz w:val="28"/>
          <w:szCs w:val="28"/>
        </w:rPr>
      </w:pPr>
      <w:r w:rsidRPr="00F0732E">
        <w:rPr>
          <w:rStyle w:val="apple-converted-space"/>
          <w:rFonts w:cs="Courier New"/>
          <w:sz w:val="28"/>
          <w:szCs w:val="28"/>
          <w:shd w:val="clear" w:color="auto" w:fill="FFFFFF"/>
        </w:rPr>
        <w:t>STU v roku 2014 zrekonštruovala z vlastných prostriedkov vo výške 120 tisíc eur priestory Nakladateľstva STU.</w:t>
      </w:r>
      <w:r w:rsidR="00C92614">
        <w:rPr>
          <w:rStyle w:val="apple-converted-space"/>
          <w:rFonts w:cs="Courier New"/>
          <w:sz w:val="28"/>
          <w:szCs w:val="28"/>
          <w:shd w:val="clear" w:color="auto" w:fill="FFFFFF"/>
        </w:rPr>
        <w:t xml:space="preserve"> </w:t>
      </w:r>
      <w:r w:rsidRPr="00F0732E">
        <w:rPr>
          <w:rFonts w:cs="Courier New"/>
          <w:sz w:val="28"/>
          <w:szCs w:val="28"/>
          <w:shd w:val="clear" w:color="auto" w:fill="FFFFFF"/>
        </w:rPr>
        <w:t>Z prostriedkov MŠVVaŠ SR začala univerzita v októbri 2014 opravu havarijného stavu transformačnej stanice VN/NN v areáli na Technickej ulici na Trnávke s celkovým rozpočtom 300 tis eur, z toho 220 tis eur z MŠVVaŠ SR.</w:t>
      </w:r>
    </w:p>
    <w:p w:rsidR="00B51749" w:rsidRDefault="00B51749" w:rsidP="00B51749">
      <w:pPr>
        <w:rPr>
          <w:color w:val="FF0000"/>
          <w:sz w:val="28"/>
          <w:szCs w:val="28"/>
        </w:rPr>
      </w:pPr>
    </w:p>
    <w:p w:rsidR="00440AB3" w:rsidRPr="00F0732E" w:rsidRDefault="00440AB3"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61" w:name="_Toc349024721"/>
      <w:bookmarkStart w:id="62" w:name="_Toc413009362"/>
      <w:r w:rsidRPr="00F0732E">
        <w:rPr>
          <w:rFonts w:ascii="Cambria" w:hAnsi="Cambria"/>
          <w:color w:val="auto"/>
          <w:sz w:val="28"/>
          <w:szCs w:val="28"/>
        </w:rPr>
        <w:t>Medzinárodné aktivity STU</w:t>
      </w:r>
      <w:bookmarkEnd w:id="61"/>
      <w:bookmarkEnd w:id="62"/>
    </w:p>
    <w:p w:rsidR="00B51749" w:rsidRPr="00F0732E" w:rsidRDefault="00B51749" w:rsidP="00B51749">
      <w:pPr>
        <w:rPr>
          <w:color w:val="FF0000"/>
          <w:sz w:val="28"/>
          <w:szCs w:val="28"/>
          <w:lang w:eastAsia="cs-CZ"/>
        </w:rPr>
      </w:pPr>
    </w:p>
    <w:p w:rsidR="00B51749" w:rsidRPr="00F0732E" w:rsidRDefault="00B51749" w:rsidP="00B51749">
      <w:pPr>
        <w:pStyle w:val="Default"/>
        <w:ind w:firstLine="432"/>
        <w:jc w:val="both"/>
        <w:rPr>
          <w:rFonts w:ascii="Cambria" w:hAnsi="Cambria" w:cs="Times New Roman"/>
          <w:sz w:val="28"/>
          <w:szCs w:val="28"/>
          <w:lang w:val="sk-SK"/>
        </w:rPr>
      </w:pPr>
      <w:bookmarkStart w:id="63" w:name="_Toc349024722"/>
      <w:r w:rsidRPr="00F0732E">
        <w:rPr>
          <w:rFonts w:ascii="Cambria" w:hAnsi="Cambria" w:cs="Times New Roman"/>
          <w:sz w:val="28"/>
          <w:szCs w:val="28"/>
          <w:lang w:val="sk-SK"/>
        </w:rPr>
        <w:t xml:space="preserve">STU pokračovala aj v roku 2014 v aktívnej medzinárodnej spolupráci s dlhodobými partnermi v zahraničí a nadväzovala nové partnerstvá s cieľom napĺňať body stanovené v Dlhodobej vízii STU v oblasti vzdelávania </w:t>
      </w:r>
      <w:r w:rsidR="00A70F92">
        <w:rPr>
          <w:rFonts w:ascii="Cambria" w:hAnsi="Cambria" w:cs="Times New Roman"/>
          <w:sz w:val="28"/>
          <w:szCs w:val="28"/>
          <w:lang w:val="sk-SK"/>
        </w:rPr>
        <w:t>–</w:t>
      </w:r>
      <w:r w:rsidRPr="00F0732E">
        <w:rPr>
          <w:rFonts w:ascii="Cambria" w:hAnsi="Cambria" w:cs="Times New Roman"/>
          <w:sz w:val="28"/>
          <w:szCs w:val="28"/>
          <w:lang w:val="sk-SK"/>
        </w:rPr>
        <w:t xml:space="preserve"> otvárať univerzitu medzinárodnému prostrediu s cieľom poskytovať kvalitné, široko dostupné, medzinárodne porovnateľné vzdelávanie v technických a na ne nadväzujúcich odboroch, postavené na aktívnej účasti vo vedeckom výskume a ďalšej tvorivej činnosti, orientované na potreby hospodárskej a spoločenskej praxe. V oblasti výskumu a ďalšej tvorivej činnosti </w:t>
      </w:r>
      <w:r w:rsidR="00A70F92">
        <w:rPr>
          <w:rFonts w:ascii="Cambria" w:hAnsi="Cambria" w:cs="Times New Roman"/>
          <w:sz w:val="28"/>
          <w:szCs w:val="28"/>
          <w:lang w:val="sk-SK"/>
        </w:rPr>
        <w:t>–</w:t>
      </w:r>
      <w:r w:rsidRPr="00F0732E">
        <w:rPr>
          <w:rFonts w:ascii="Cambria" w:hAnsi="Cambria" w:cs="Times New Roman"/>
          <w:sz w:val="28"/>
          <w:szCs w:val="28"/>
          <w:lang w:val="sk-SK"/>
        </w:rPr>
        <w:t xml:space="preserve"> väčšmi otvoriť STU medzinárodnej spolupráci vo výskume a ďalšej tvorivej činnosti, t. j. posilniť pozíciu univerzity v európskom výskumnom priestore; k tomu zlepšiť výskumnú infraštruktúru a prepájanie vzdelávania a výchovy s výskumom a ďalšou tvorivou činnosťou.</w:t>
      </w: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64" w:name="_Toc413009363"/>
      <w:r w:rsidRPr="00F0732E">
        <w:rPr>
          <w:rFonts w:ascii="Cambria" w:hAnsi="Cambria"/>
          <w:color w:val="auto"/>
        </w:rPr>
        <w:lastRenderedPageBreak/>
        <w:t>Medzinárodné dohody</w:t>
      </w:r>
      <w:bookmarkEnd w:id="63"/>
      <w:r w:rsidRPr="00F0732E">
        <w:rPr>
          <w:rFonts w:ascii="Cambria" w:hAnsi="Cambria"/>
          <w:color w:val="auto"/>
        </w:rPr>
        <w:t xml:space="preserve"> a partnerstvá</w:t>
      </w:r>
      <w:bookmarkEnd w:id="64"/>
      <w:r w:rsidRPr="00F0732E">
        <w:rPr>
          <w:rFonts w:ascii="Cambria" w:hAnsi="Cambria"/>
          <w:color w:val="auto"/>
        </w:rPr>
        <w:t xml:space="preserve"> </w:t>
      </w:r>
    </w:p>
    <w:p w:rsidR="00B51749" w:rsidRPr="00F0732E" w:rsidRDefault="00B51749" w:rsidP="00B51749">
      <w:pPr>
        <w:rPr>
          <w:color w:val="FF0000"/>
          <w:sz w:val="28"/>
          <w:szCs w:val="28"/>
          <w:lang w:eastAsia="cs-CZ"/>
        </w:rPr>
      </w:pPr>
    </w:p>
    <w:p w:rsidR="00B51749" w:rsidRPr="00F0732E" w:rsidRDefault="00B51749" w:rsidP="00B51749">
      <w:pPr>
        <w:pStyle w:val="Default"/>
        <w:jc w:val="both"/>
        <w:rPr>
          <w:rFonts w:ascii="Cambria" w:hAnsi="Cambria" w:cs="Times New Roman"/>
          <w:sz w:val="28"/>
          <w:szCs w:val="28"/>
          <w:lang w:val="sk-SK"/>
        </w:rPr>
      </w:pPr>
      <w:r w:rsidRPr="00F0732E">
        <w:rPr>
          <w:rFonts w:ascii="Cambria" w:hAnsi="Cambria" w:cs="Times New Roman"/>
          <w:sz w:val="28"/>
          <w:szCs w:val="28"/>
          <w:lang w:val="sk-SK"/>
        </w:rPr>
        <w:t xml:space="preserve">     Medzinárodné dohody a uzatvorené p</w:t>
      </w:r>
      <w:r w:rsidR="00A70F92">
        <w:rPr>
          <w:rFonts w:ascii="Cambria" w:hAnsi="Cambria" w:cs="Times New Roman"/>
          <w:sz w:val="28"/>
          <w:szCs w:val="28"/>
          <w:lang w:val="sk-SK"/>
        </w:rPr>
        <w:t>artnerstvá vytvárajú platformu na</w:t>
      </w:r>
      <w:r w:rsidRPr="00F0732E">
        <w:rPr>
          <w:rFonts w:ascii="Cambria" w:hAnsi="Cambria" w:cs="Times New Roman"/>
          <w:sz w:val="28"/>
          <w:szCs w:val="28"/>
          <w:lang w:val="sk-SK"/>
        </w:rPr>
        <w:t xml:space="preserve"> rozvoj spolupráce univerzity, fakúlt, ústavov, katedier, či jednotlivých zamestnancov spolupracujúcich inštitúcií. </w:t>
      </w:r>
    </w:p>
    <w:p w:rsidR="00B51749" w:rsidRPr="00F0732E" w:rsidRDefault="00B51749" w:rsidP="00B51749">
      <w:pPr>
        <w:pStyle w:val="Default"/>
        <w:jc w:val="both"/>
        <w:rPr>
          <w:rFonts w:ascii="Cambria" w:hAnsi="Cambria" w:cs="Times New Roman"/>
          <w:sz w:val="28"/>
          <w:szCs w:val="28"/>
          <w:lang w:val="sk-SK"/>
        </w:rPr>
      </w:pPr>
      <w:r w:rsidRPr="00F0732E">
        <w:rPr>
          <w:rFonts w:ascii="Cambria" w:hAnsi="Cambria" w:cs="Times New Roman"/>
          <w:sz w:val="28"/>
          <w:szCs w:val="28"/>
          <w:lang w:val="sk-SK"/>
        </w:rPr>
        <w:t xml:space="preserve">STU uzatvára medzinárodné dohody na univerzitnej aj na fakultnej úrovni. Celkovo je uzatvorených 98 univerzitných rámcových dohôd s inštitúciami v 35 štátoch sveta. </w:t>
      </w:r>
    </w:p>
    <w:p w:rsidR="00B51749" w:rsidRPr="00F0732E" w:rsidRDefault="00B51749" w:rsidP="00B51749">
      <w:pPr>
        <w:rPr>
          <w:color w:val="000000"/>
          <w:sz w:val="28"/>
          <w:szCs w:val="28"/>
          <w:lang w:eastAsia="ko-KR"/>
        </w:rPr>
      </w:pPr>
      <w:r w:rsidRPr="00F0732E">
        <w:rPr>
          <w:color w:val="000000"/>
          <w:sz w:val="28"/>
          <w:szCs w:val="28"/>
          <w:lang w:eastAsia="ko-KR"/>
        </w:rPr>
        <w:t xml:space="preserve">V roku 2014 rektor STU podporil rozšírenie medzinárodnej spolupráce podpísaním rámcových univerzitných dohôd s nasledovnými inštitúciami: </w:t>
      </w:r>
    </w:p>
    <w:p w:rsidR="00B51749" w:rsidRPr="00F0732E" w:rsidRDefault="00B51749" w:rsidP="00B51749">
      <w:pPr>
        <w:pStyle w:val="Odsekzoznamu"/>
        <w:numPr>
          <w:ilvl w:val="0"/>
          <w:numId w:val="36"/>
        </w:numPr>
        <w:rPr>
          <w:rFonts w:ascii="Cambria" w:hAnsi="Cambria"/>
          <w:color w:val="000000"/>
          <w:sz w:val="28"/>
          <w:szCs w:val="28"/>
          <w:lang w:eastAsia="ko-KR"/>
        </w:rPr>
      </w:pPr>
      <w:r w:rsidRPr="00F0732E">
        <w:rPr>
          <w:rFonts w:ascii="Cambria" w:hAnsi="Cambria"/>
          <w:color w:val="000000"/>
          <w:sz w:val="28"/>
          <w:szCs w:val="28"/>
          <w:lang w:eastAsia="ko-KR"/>
        </w:rPr>
        <w:t>Ton Duc Thang University, Ho Chi Minh City, Vietnam</w:t>
      </w:r>
    </w:p>
    <w:p w:rsidR="00B51749" w:rsidRPr="00F0732E" w:rsidRDefault="00B51749" w:rsidP="00B51749">
      <w:pPr>
        <w:pStyle w:val="Odsekzoznamu"/>
        <w:numPr>
          <w:ilvl w:val="0"/>
          <w:numId w:val="36"/>
        </w:numPr>
        <w:rPr>
          <w:rFonts w:ascii="Cambria" w:hAnsi="Cambria"/>
          <w:color w:val="000000"/>
          <w:sz w:val="28"/>
          <w:szCs w:val="28"/>
          <w:lang w:eastAsia="ko-KR"/>
        </w:rPr>
      </w:pPr>
      <w:r w:rsidRPr="00F0732E">
        <w:rPr>
          <w:rFonts w:ascii="Cambria" w:hAnsi="Cambria"/>
          <w:color w:val="000000"/>
          <w:sz w:val="28"/>
          <w:szCs w:val="28"/>
          <w:lang w:eastAsia="ko-KR"/>
        </w:rPr>
        <w:t>Kumoh National Institute of Technology, Gumi, Kórea</w:t>
      </w:r>
    </w:p>
    <w:p w:rsidR="00B51749" w:rsidRPr="00F0732E" w:rsidRDefault="00B51749" w:rsidP="00B51749">
      <w:pPr>
        <w:pStyle w:val="Odsekzoznamu"/>
        <w:numPr>
          <w:ilvl w:val="0"/>
          <w:numId w:val="36"/>
        </w:numPr>
        <w:spacing w:after="0" w:line="240" w:lineRule="auto"/>
        <w:rPr>
          <w:rFonts w:ascii="Cambria" w:hAnsi="Cambria"/>
          <w:color w:val="000000"/>
          <w:sz w:val="28"/>
          <w:szCs w:val="28"/>
          <w:lang w:eastAsia="ko-KR"/>
        </w:rPr>
      </w:pPr>
      <w:r w:rsidRPr="00F0732E">
        <w:rPr>
          <w:rFonts w:ascii="Cambria" w:hAnsi="Cambria"/>
          <w:color w:val="000000"/>
          <w:sz w:val="28"/>
          <w:szCs w:val="28"/>
          <w:lang w:eastAsia="ko-KR"/>
        </w:rPr>
        <w:t>Instituto Tecnologico y de Estudios Superiores de Monterrey, Campus Ciudad de México, Mexiko</w:t>
      </w:r>
    </w:p>
    <w:p w:rsidR="00B51749" w:rsidRPr="00F0732E" w:rsidRDefault="00B51749" w:rsidP="00B51749">
      <w:pPr>
        <w:rPr>
          <w:color w:val="000000"/>
          <w:sz w:val="28"/>
          <w:szCs w:val="28"/>
          <w:lang w:eastAsia="ko-KR"/>
        </w:rPr>
      </w:pPr>
      <w:r w:rsidRPr="00F0732E">
        <w:rPr>
          <w:color w:val="000000"/>
          <w:sz w:val="28"/>
          <w:szCs w:val="28"/>
        </w:rPr>
        <w:t>Zároveň bola predĺžená dohoda o spolupráci s L. N. Gumilyov Eurasian National University, Kazachstan.</w:t>
      </w:r>
    </w:p>
    <w:p w:rsidR="00B51749" w:rsidRPr="00F0732E" w:rsidRDefault="00B51749" w:rsidP="00B51749">
      <w:pPr>
        <w:rPr>
          <w:color w:val="00B050"/>
          <w:sz w:val="28"/>
          <w:szCs w:val="28"/>
        </w:rPr>
      </w:pPr>
    </w:p>
    <w:p w:rsidR="00B51749" w:rsidRPr="00F0732E" w:rsidRDefault="00B51749" w:rsidP="00B51749">
      <w:pPr>
        <w:pStyle w:val="Default"/>
        <w:jc w:val="both"/>
        <w:rPr>
          <w:rFonts w:ascii="Cambria" w:hAnsi="Cambria" w:cs="Times New Roman"/>
          <w:sz w:val="28"/>
          <w:szCs w:val="28"/>
          <w:lang w:val="sk-SK"/>
        </w:rPr>
      </w:pPr>
      <w:r w:rsidRPr="00F0732E">
        <w:rPr>
          <w:rFonts w:ascii="Cambria" w:hAnsi="Cambria" w:cs="Times New Roman"/>
          <w:sz w:val="28"/>
          <w:szCs w:val="28"/>
          <w:lang w:val="sk-SK"/>
        </w:rPr>
        <w:t xml:space="preserve">Dôvodom uzatvárania zmlúv na úrovni fakulty je predovšetkým skutočnosť, že obsahové zameranie partnerskej univerzity môže byť výrazne odlišné od technickej orientácie STU, a príbuznosť je len na úrovni jednej zložky partnera, s ktorou fakulta STU uzavrela dohodu. Celkovo mali fakulty Slovenskej technickej univerzity v roku 2014 uzatvorené dohody s 37 inštitúciami v 16 štátoch sveta. </w:t>
      </w:r>
    </w:p>
    <w:p w:rsidR="00B51749" w:rsidRPr="00F0732E" w:rsidRDefault="00B51749" w:rsidP="00B51749">
      <w:pPr>
        <w:rPr>
          <w:color w:val="000000"/>
          <w:sz w:val="28"/>
          <w:szCs w:val="28"/>
        </w:rPr>
      </w:pPr>
    </w:p>
    <w:p w:rsidR="00B51749" w:rsidRPr="00F0732E" w:rsidRDefault="00B51749" w:rsidP="00B51749">
      <w:pPr>
        <w:rPr>
          <w:color w:val="000000"/>
          <w:sz w:val="28"/>
          <w:szCs w:val="28"/>
        </w:rPr>
      </w:pPr>
      <w:r w:rsidRPr="00F0732E">
        <w:rPr>
          <w:sz w:val="28"/>
          <w:szCs w:val="28"/>
        </w:rPr>
        <w:t xml:space="preserve">Pre oblasť mobilít študentov, akademických i neakademických zamestnancov je </w:t>
      </w:r>
      <w:r w:rsidRPr="00F0732E">
        <w:rPr>
          <w:color w:val="000000"/>
          <w:sz w:val="28"/>
          <w:szCs w:val="28"/>
        </w:rPr>
        <w:t xml:space="preserve">nesporným prínosom zmluvná Erasmus základňa </w:t>
      </w:r>
      <w:r w:rsidR="00A70F92">
        <w:rPr>
          <w:color w:val="000000"/>
          <w:sz w:val="28"/>
          <w:szCs w:val="28"/>
        </w:rPr>
        <w:t>–</w:t>
      </w:r>
      <w:r w:rsidRPr="00F0732E">
        <w:rPr>
          <w:color w:val="000000"/>
          <w:sz w:val="28"/>
          <w:szCs w:val="28"/>
        </w:rPr>
        <w:t xml:space="preserve"> 298 uzatvorených Erasmus dohôd so 172 inštitúciami v 25 štátoch.</w:t>
      </w:r>
    </w:p>
    <w:p w:rsidR="00B51749" w:rsidRPr="00F0732E" w:rsidRDefault="00B51749" w:rsidP="00B51749">
      <w:pPr>
        <w:rPr>
          <w:sz w:val="28"/>
          <w:szCs w:val="28"/>
        </w:rPr>
      </w:pPr>
    </w:p>
    <w:p w:rsidR="00B51749" w:rsidRPr="00F0732E" w:rsidRDefault="00B51749" w:rsidP="00B51749">
      <w:pPr>
        <w:rPr>
          <w:color w:val="000000"/>
          <w:sz w:val="28"/>
          <w:szCs w:val="28"/>
        </w:rPr>
      </w:pPr>
      <w:r w:rsidRPr="00F0732E">
        <w:rPr>
          <w:color w:val="000000"/>
          <w:sz w:val="28"/>
          <w:szCs w:val="28"/>
        </w:rPr>
        <w:t xml:space="preserve">Kompletnú zmluvnú základňu univerzitných, fakultných a Erasmus dohôd STU predstavuje spolupráca s 291 inštitúciami v 49 štátoch sveta tvorená celkovým počtom 433 dohôd. Najrozsiahlejšia je spolupráca STU s vysokoškolskými inštitúciami v Českej republike, v Nemecku a Poľsku. </w:t>
      </w:r>
    </w:p>
    <w:p w:rsidR="00B51749" w:rsidRPr="00F0732E" w:rsidRDefault="00B51749" w:rsidP="00B51749">
      <w:pPr>
        <w:rPr>
          <w:color w:val="000000"/>
          <w:sz w:val="28"/>
          <w:szCs w:val="28"/>
        </w:rPr>
      </w:pPr>
    </w:p>
    <w:p w:rsidR="00B51749" w:rsidRPr="00F0732E" w:rsidRDefault="00B51749" w:rsidP="00B51749">
      <w:pPr>
        <w:pStyle w:val="Popis"/>
        <w:rPr>
          <w:rFonts w:ascii="Cambria" w:hAnsi="Cambria"/>
          <w:color w:val="000000"/>
          <w:sz w:val="28"/>
          <w:szCs w:val="28"/>
        </w:rPr>
      </w:pPr>
      <w:r w:rsidRPr="00F0732E">
        <w:rPr>
          <w:rFonts w:ascii="Cambria" w:hAnsi="Cambria"/>
          <w:color w:val="000000"/>
          <w:sz w:val="28"/>
          <w:szCs w:val="28"/>
        </w:rPr>
        <w:t xml:space="preserve">Tabuľka 11.1: Prehľad počtu a typov dohôd STU platných v roku 2014 </w:t>
      </w:r>
    </w:p>
    <w:tbl>
      <w:tblPr>
        <w:tblW w:w="7334" w:type="dxa"/>
        <w:tblInd w:w="70" w:type="dxa"/>
        <w:tblLayout w:type="fixed"/>
        <w:tblCellMar>
          <w:left w:w="70" w:type="dxa"/>
          <w:right w:w="70" w:type="dxa"/>
        </w:tblCellMar>
        <w:tblLook w:val="0000" w:firstRow="0" w:lastRow="0" w:firstColumn="0" w:lastColumn="0" w:noHBand="0" w:noVBand="0"/>
      </w:tblPr>
      <w:tblGrid>
        <w:gridCol w:w="1351"/>
        <w:gridCol w:w="1768"/>
        <w:gridCol w:w="1320"/>
        <w:gridCol w:w="1544"/>
        <w:gridCol w:w="1351"/>
      </w:tblGrid>
      <w:tr w:rsidR="00B51749" w:rsidRPr="00F0732E" w:rsidTr="00440AB3">
        <w:trPr>
          <w:trHeight w:val="382"/>
        </w:trPr>
        <w:tc>
          <w:tcPr>
            <w:tcW w:w="1351" w:type="dxa"/>
            <w:tcBorders>
              <w:top w:val="single" w:sz="4" w:space="0" w:color="auto"/>
              <w:left w:val="single" w:sz="4" w:space="0" w:color="auto"/>
              <w:bottom w:val="single" w:sz="4" w:space="0" w:color="auto"/>
              <w:right w:val="single" w:sz="4" w:space="0" w:color="auto"/>
            </w:tcBorders>
          </w:tcPr>
          <w:p w:rsidR="00B51749" w:rsidRPr="00F0732E" w:rsidRDefault="00B51749" w:rsidP="00447572">
            <w:pPr>
              <w:spacing w:before="60"/>
              <w:jc w:val="center"/>
              <w:rPr>
                <w:b/>
                <w:bCs/>
                <w:color w:val="000000"/>
                <w:sz w:val="28"/>
                <w:szCs w:val="28"/>
                <w:lang w:eastAsia="sk-SK"/>
              </w:rPr>
            </w:pPr>
            <w:r w:rsidRPr="00F0732E">
              <w:rPr>
                <w:b/>
                <w:bCs/>
                <w:color w:val="000000"/>
                <w:sz w:val="28"/>
                <w:szCs w:val="28"/>
                <w:lang w:eastAsia="sk-SK"/>
              </w:rPr>
              <w:t>STU</w:t>
            </w:r>
          </w:p>
        </w:tc>
        <w:tc>
          <w:tcPr>
            <w:tcW w:w="1768" w:type="dxa"/>
            <w:tcBorders>
              <w:top w:val="single" w:sz="4" w:space="0" w:color="auto"/>
              <w:left w:val="nil"/>
              <w:bottom w:val="single" w:sz="4" w:space="0" w:color="auto"/>
              <w:right w:val="single" w:sz="4" w:space="0" w:color="auto"/>
            </w:tcBorders>
            <w:shd w:val="clear" w:color="auto" w:fill="FFFFFF"/>
          </w:tcPr>
          <w:p w:rsidR="00B51749" w:rsidRPr="00F0732E" w:rsidRDefault="00B51749" w:rsidP="00447572">
            <w:pPr>
              <w:spacing w:before="60"/>
              <w:jc w:val="center"/>
              <w:rPr>
                <w:b/>
                <w:bCs/>
                <w:color w:val="000000"/>
                <w:sz w:val="28"/>
                <w:szCs w:val="28"/>
                <w:lang w:eastAsia="sk-SK"/>
              </w:rPr>
            </w:pPr>
            <w:r w:rsidRPr="00F0732E">
              <w:rPr>
                <w:b/>
                <w:bCs/>
                <w:color w:val="000000"/>
                <w:sz w:val="28"/>
                <w:szCs w:val="28"/>
                <w:lang w:eastAsia="sk-SK"/>
              </w:rPr>
              <w:t>Univerzitné</w:t>
            </w:r>
          </w:p>
        </w:tc>
        <w:tc>
          <w:tcPr>
            <w:tcW w:w="1320" w:type="dxa"/>
            <w:tcBorders>
              <w:top w:val="single" w:sz="4" w:space="0" w:color="auto"/>
              <w:left w:val="nil"/>
              <w:bottom w:val="single" w:sz="4" w:space="0" w:color="auto"/>
              <w:right w:val="single" w:sz="4" w:space="0" w:color="auto"/>
            </w:tcBorders>
            <w:shd w:val="clear" w:color="auto" w:fill="FFFFFF"/>
          </w:tcPr>
          <w:p w:rsidR="00B51749" w:rsidRPr="00F0732E" w:rsidRDefault="00B51749" w:rsidP="00447572">
            <w:pPr>
              <w:spacing w:before="60"/>
              <w:jc w:val="center"/>
              <w:rPr>
                <w:b/>
                <w:bCs/>
                <w:color w:val="000000"/>
                <w:sz w:val="28"/>
                <w:szCs w:val="28"/>
                <w:lang w:eastAsia="sk-SK"/>
              </w:rPr>
            </w:pPr>
            <w:r w:rsidRPr="00F0732E">
              <w:rPr>
                <w:b/>
                <w:bCs/>
                <w:color w:val="000000"/>
                <w:sz w:val="28"/>
                <w:szCs w:val="28"/>
                <w:lang w:eastAsia="sk-SK"/>
              </w:rPr>
              <w:t>Fakultné</w:t>
            </w:r>
          </w:p>
        </w:tc>
        <w:tc>
          <w:tcPr>
            <w:tcW w:w="1544" w:type="dxa"/>
            <w:tcBorders>
              <w:top w:val="single" w:sz="4" w:space="0" w:color="auto"/>
              <w:left w:val="nil"/>
              <w:bottom w:val="single" w:sz="4" w:space="0" w:color="auto"/>
              <w:right w:val="single" w:sz="4" w:space="0" w:color="auto"/>
            </w:tcBorders>
            <w:shd w:val="clear" w:color="auto" w:fill="FFFFFF"/>
          </w:tcPr>
          <w:p w:rsidR="00B51749" w:rsidRPr="00F0732E" w:rsidRDefault="00B51749" w:rsidP="00447572">
            <w:pPr>
              <w:spacing w:before="60"/>
              <w:jc w:val="center"/>
              <w:rPr>
                <w:b/>
                <w:bCs/>
                <w:color w:val="000000"/>
                <w:sz w:val="28"/>
                <w:szCs w:val="28"/>
                <w:lang w:eastAsia="sk-SK"/>
              </w:rPr>
            </w:pPr>
            <w:r w:rsidRPr="00F0732E">
              <w:rPr>
                <w:b/>
                <w:bCs/>
                <w:color w:val="000000"/>
                <w:sz w:val="28"/>
                <w:szCs w:val="28"/>
                <w:lang w:eastAsia="sk-SK"/>
              </w:rPr>
              <w:t>Erasmus</w:t>
            </w:r>
          </w:p>
        </w:tc>
        <w:tc>
          <w:tcPr>
            <w:tcW w:w="1351" w:type="dxa"/>
            <w:tcBorders>
              <w:top w:val="single" w:sz="4" w:space="0" w:color="auto"/>
              <w:left w:val="nil"/>
              <w:bottom w:val="single" w:sz="4" w:space="0" w:color="auto"/>
              <w:right w:val="single" w:sz="4" w:space="0" w:color="auto"/>
            </w:tcBorders>
          </w:tcPr>
          <w:p w:rsidR="00B51749" w:rsidRPr="00F0732E" w:rsidRDefault="00B51749" w:rsidP="00447572">
            <w:pPr>
              <w:spacing w:before="60"/>
              <w:jc w:val="center"/>
              <w:rPr>
                <w:b/>
                <w:bCs/>
                <w:color w:val="000000"/>
                <w:sz w:val="28"/>
                <w:szCs w:val="28"/>
                <w:lang w:eastAsia="sk-SK"/>
              </w:rPr>
            </w:pPr>
            <w:r w:rsidRPr="00F0732E">
              <w:rPr>
                <w:b/>
                <w:bCs/>
                <w:color w:val="000000"/>
                <w:sz w:val="28"/>
                <w:szCs w:val="28"/>
                <w:lang w:eastAsia="sk-SK"/>
              </w:rPr>
              <w:t>Spolu</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R-STU</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98</w:t>
            </w: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98</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lastRenderedPageBreak/>
              <w:t>SvF</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4</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85</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89</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SjF</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4</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29</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33</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FEI</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5</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31</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36</w:t>
            </w:r>
          </w:p>
        </w:tc>
      </w:tr>
      <w:tr w:rsidR="00B51749" w:rsidRPr="00F0732E" w:rsidTr="00440AB3">
        <w:trPr>
          <w:trHeight w:val="319"/>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FCHPT</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5</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45</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50</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FA</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4</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48</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52</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MTF</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14</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21</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35</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FIIT</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22</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23</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ÚM</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color w:val="000000"/>
                <w:sz w:val="28"/>
                <w:szCs w:val="28"/>
                <w:lang w:eastAsia="sk-SK"/>
              </w:rPr>
            </w:pPr>
            <w:r w:rsidRPr="00F0732E">
              <w:rPr>
                <w:color w:val="000000"/>
                <w:sz w:val="28"/>
                <w:szCs w:val="28"/>
                <w:lang w:eastAsia="sk-SK"/>
              </w:rPr>
              <w:t>17</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17</w:t>
            </w:r>
          </w:p>
        </w:tc>
      </w:tr>
      <w:tr w:rsidR="00B51749" w:rsidRPr="00F0732E" w:rsidTr="00440AB3">
        <w:trPr>
          <w:trHeight w:val="335"/>
        </w:trPr>
        <w:tc>
          <w:tcPr>
            <w:tcW w:w="1351" w:type="dxa"/>
            <w:tcBorders>
              <w:top w:val="nil"/>
              <w:left w:val="single" w:sz="4" w:space="0" w:color="auto"/>
              <w:bottom w:val="single" w:sz="4" w:space="0" w:color="auto"/>
              <w:right w:val="single" w:sz="4" w:space="0" w:color="auto"/>
            </w:tcBorders>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Spolu</w:t>
            </w:r>
          </w:p>
        </w:tc>
        <w:tc>
          <w:tcPr>
            <w:tcW w:w="1768"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98</w:t>
            </w:r>
          </w:p>
        </w:tc>
        <w:tc>
          <w:tcPr>
            <w:tcW w:w="1320"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37</w:t>
            </w:r>
          </w:p>
        </w:tc>
        <w:tc>
          <w:tcPr>
            <w:tcW w:w="1544" w:type="dxa"/>
            <w:tcBorders>
              <w:top w:val="nil"/>
              <w:left w:val="nil"/>
              <w:bottom w:val="single" w:sz="4" w:space="0" w:color="auto"/>
              <w:right w:val="single" w:sz="4" w:space="0" w:color="auto"/>
            </w:tcBorders>
            <w:shd w:val="clear" w:color="auto" w:fill="FFFFFF"/>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298</w:t>
            </w:r>
          </w:p>
        </w:tc>
        <w:tc>
          <w:tcPr>
            <w:tcW w:w="1351" w:type="dxa"/>
            <w:tcBorders>
              <w:top w:val="nil"/>
              <w:left w:val="nil"/>
              <w:bottom w:val="single" w:sz="4" w:space="0" w:color="auto"/>
              <w:right w:val="single" w:sz="4" w:space="0" w:color="auto"/>
            </w:tcBorders>
          </w:tcPr>
          <w:p w:rsidR="00B51749" w:rsidRPr="00F0732E" w:rsidRDefault="00B51749" w:rsidP="00447572">
            <w:pPr>
              <w:jc w:val="center"/>
              <w:rPr>
                <w:bCs/>
                <w:color w:val="000000"/>
                <w:sz w:val="28"/>
                <w:szCs w:val="28"/>
                <w:lang w:eastAsia="sk-SK"/>
              </w:rPr>
            </w:pPr>
            <w:r w:rsidRPr="00F0732E">
              <w:rPr>
                <w:bCs/>
                <w:color w:val="000000"/>
                <w:sz w:val="28"/>
                <w:szCs w:val="28"/>
                <w:lang w:eastAsia="sk-SK"/>
              </w:rPr>
              <w:t>433</w:t>
            </w:r>
          </w:p>
        </w:tc>
      </w:tr>
    </w:tbl>
    <w:p w:rsidR="00B51749" w:rsidRPr="00F0732E" w:rsidRDefault="00B51749" w:rsidP="00B51749">
      <w:pPr>
        <w:rPr>
          <w:color w:val="000000"/>
          <w:sz w:val="28"/>
          <w:szCs w:val="28"/>
          <w:lang w:eastAsia="ko-KR"/>
        </w:rPr>
      </w:pPr>
    </w:p>
    <w:p w:rsidR="00B51749" w:rsidRPr="00F0732E" w:rsidRDefault="00B51749" w:rsidP="00B51749">
      <w:pPr>
        <w:rPr>
          <w:color w:val="000000"/>
          <w:sz w:val="28"/>
          <w:szCs w:val="28"/>
        </w:rPr>
      </w:pPr>
    </w:p>
    <w:p w:rsidR="00B51749" w:rsidRPr="00F0732E" w:rsidRDefault="00B51749" w:rsidP="00B51749">
      <w:pPr>
        <w:jc w:val="left"/>
        <w:rPr>
          <w:color w:val="000000"/>
          <w:sz w:val="28"/>
          <w:szCs w:val="28"/>
        </w:rPr>
      </w:pPr>
      <w:r w:rsidRPr="00F0732E">
        <w:rPr>
          <w:color w:val="000000"/>
          <w:sz w:val="28"/>
          <w:szCs w:val="28"/>
        </w:rPr>
        <w:t xml:space="preserve">Podrobné zoznamy partnerských inštitúcií STU sú dostupné na slovenskej verzii internetovej stránky STU </w:t>
      </w:r>
    </w:p>
    <w:p w:rsidR="00B51749" w:rsidRPr="00F0732E" w:rsidRDefault="00B51749" w:rsidP="00B51749">
      <w:pPr>
        <w:rPr>
          <w:color w:val="000000"/>
          <w:sz w:val="28"/>
          <w:szCs w:val="28"/>
        </w:rPr>
      </w:pPr>
      <w:r w:rsidRPr="00F0732E">
        <w:rPr>
          <w:sz w:val="28"/>
          <w:szCs w:val="28"/>
        </w:rPr>
        <w:t>http://www.stuba.sk/sk/podrobne-prehlady-zahranicnych-aktivit-stu.html?page_id=206</w:t>
      </w:r>
    </w:p>
    <w:p w:rsidR="00B51749" w:rsidRPr="00F0732E" w:rsidRDefault="00B51749" w:rsidP="00B51749">
      <w:pPr>
        <w:rPr>
          <w:color w:val="000000"/>
          <w:sz w:val="28"/>
          <w:szCs w:val="28"/>
        </w:rPr>
      </w:pPr>
      <w:r w:rsidRPr="00F0732E">
        <w:rPr>
          <w:color w:val="000000"/>
          <w:sz w:val="28"/>
          <w:szCs w:val="28"/>
        </w:rPr>
        <w:t xml:space="preserve">i v anglickej verzii </w:t>
      </w:r>
    </w:p>
    <w:p w:rsidR="00B51749" w:rsidRPr="00F0732E" w:rsidRDefault="00B51749" w:rsidP="00B51749">
      <w:pPr>
        <w:rPr>
          <w:color w:val="000000"/>
          <w:sz w:val="28"/>
          <w:szCs w:val="28"/>
          <w:u w:val="single"/>
        </w:rPr>
      </w:pPr>
      <w:r w:rsidRPr="00F0732E">
        <w:rPr>
          <w:sz w:val="28"/>
          <w:szCs w:val="28"/>
        </w:rPr>
        <w:t>http://www.stuba.sk/english/international-activities/partner-institutions.html?page_id=1104</w:t>
      </w:r>
    </w:p>
    <w:p w:rsidR="00B51749" w:rsidRPr="00F0732E" w:rsidRDefault="00B51749" w:rsidP="00B51749">
      <w:pPr>
        <w:rPr>
          <w:color w:val="FF0000"/>
          <w:sz w:val="28"/>
          <w:szCs w:val="28"/>
          <w:lang w:eastAsia="ko-KR"/>
        </w:rPr>
      </w:pPr>
    </w:p>
    <w:p w:rsidR="00B51749" w:rsidRPr="00F0732E" w:rsidRDefault="00B51749" w:rsidP="00B51749">
      <w:pPr>
        <w:pStyle w:val="Nadpis2"/>
        <w:rPr>
          <w:rFonts w:ascii="Cambria" w:hAnsi="Cambria"/>
          <w:color w:val="auto"/>
        </w:rPr>
      </w:pPr>
      <w:bookmarkStart w:id="65" w:name="_Toc349024723"/>
      <w:bookmarkStart w:id="66" w:name="_Toc413009364"/>
      <w:r w:rsidRPr="00F0732E">
        <w:rPr>
          <w:rFonts w:ascii="Cambria" w:hAnsi="Cambria"/>
          <w:color w:val="auto"/>
        </w:rPr>
        <w:t>Medzinárodné vzdelávacie projekty</w:t>
      </w:r>
      <w:bookmarkEnd w:id="65"/>
      <w:bookmarkEnd w:id="66"/>
      <w:r w:rsidRPr="00F0732E">
        <w:rPr>
          <w:rFonts w:ascii="Cambria" w:hAnsi="Cambria"/>
          <w:color w:val="auto"/>
        </w:rPr>
        <w:t xml:space="preserve"> </w:t>
      </w:r>
    </w:p>
    <w:p w:rsidR="00B51749" w:rsidRPr="00F0732E" w:rsidRDefault="00B51749" w:rsidP="00B51749">
      <w:pPr>
        <w:rPr>
          <w:color w:val="FF0000"/>
          <w:sz w:val="28"/>
          <w:szCs w:val="28"/>
          <w:lang w:eastAsia="cs-CZ"/>
        </w:rPr>
      </w:pPr>
    </w:p>
    <w:p w:rsidR="00B51749" w:rsidRPr="00F0732E" w:rsidRDefault="00B51749" w:rsidP="00B51749">
      <w:pPr>
        <w:pStyle w:val="Zarkazkladnhotextu3"/>
        <w:spacing w:after="0"/>
        <w:ind w:left="0"/>
        <w:rPr>
          <w:rFonts w:ascii="Cambria" w:hAnsi="Cambria"/>
          <w:sz w:val="28"/>
          <w:szCs w:val="28"/>
        </w:rPr>
      </w:pPr>
      <w:bookmarkStart w:id="67" w:name="_Toc349024726"/>
      <w:r w:rsidRPr="00F0732E">
        <w:rPr>
          <w:rFonts w:ascii="Cambria" w:hAnsi="Cambria"/>
          <w:sz w:val="28"/>
          <w:szCs w:val="28"/>
        </w:rPr>
        <w:t xml:space="preserve">Zmluvné partnerstvá sú pre akademickú obec univerzity základným predpokladom na nadväzovanie rôznych druhov spolupráce, napríklad pri podávaní prihlášok na riešenie medzinárodných projektov, pri zapájaní sa do aliancií a do  riešenia projektov v pozícii projektových partnerov. Medzinárodná spolupráca na riešení vzdelávacích a výskumných projektov patrí medzi kľúčové aktivity univerzity, pretože okrem nezanedbateľných finančných zdrojov je zároveň účinným nástrojom skvalitňovania a internacionalizácie vzdelávania, vedy a výskumu. </w:t>
      </w:r>
    </w:p>
    <w:p w:rsidR="00B51749" w:rsidRPr="00F0732E" w:rsidRDefault="00B51749" w:rsidP="00B51749">
      <w:pPr>
        <w:rPr>
          <w:color w:val="000000"/>
          <w:sz w:val="28"/>
          <w:szCs w:val="28"/>
        </w:rPr>
      </w:pPr>
      <w:r w:rsidRPr="00F0732E">
        <w:rPr>
          <w:color w:val="000000"/>
          <w:sz w:val="28"/>
          <w:szCs w:val="28"/>
        </w:rPr>
        <w:t>Cieľom medzinárodných programov Európskej únie, ako aj iných samostatných programov orientovaných na oblasť vzdelávania, je skvalitňovanie a ďalší rozvoj vzdelávania prostredníctvom riešenia multinárodných projektov. Vzdelávacie projekty riešia problematiku týkajúcu sa rôznych aspektov vzdelávania</w:t>
      </w:r>
      <w:r w:rsidR="00515B72">
        <w:rPr>
          <w:color w:val="000000"/>
          <w:sz w:val="28"/>
          <w:szCs w:val="28"/>
        </w:rPr>
        <w:t>,</w:t>
      </w:r>
      <w:r w:rsidRPr="00F0732E">
        <w:rPr>
          <w:color w:val="000000"/>
          <w:sz w:val="28"/>
          <w:szCs w:val="28"/>
        </w:rPr>
        <w:t xml:space="preserve"> a zároveň podporujú mobility všetkých účastníkov vzdelávacieho procesu </w:t>
      </w:r>
      <w:r w:rsidR="00515B72">
        <w:rPr>
          <w:color w:val="000000"/>
          <w:sz w:val="28"/>
          <w:szCs w:val="28"/>
        </w:rPr>
        <w:t>–</w:t>
      </w:r>
      <w:r w:rsidRPr="00F0732E">
        <w:rPr>
          <w:color w:val="000000"/>
          <w:sz w:val="28"/>
          <w:szCs w:val="28"/>
        </w:rPr>
        <w:t xml:space="preserve"> študentov, akademických i neakademických zamestnancov. </w:t>
      </w:r>
    </w:p>
    <w:p w:rsidR="00B51749" w:rsidRPr="00F0732E" w:rsidRDefault="00B51749" w:rsidP="00B51749">
      <w:pPr>
        <w:pStyle w:val="Zkladntext"/>
        <w:tabs>
          <w:tab w:val="left" w:pos="3630"/>
        </w:tabs>
        <w:rPr>
          <w:rFonts w:ascii="Cambria" w:hAnsi="Cambria"/>
          <w:b/>
          <w:color w:val="000000"/>
          <w:sz w:val="28"/>
          <w:szCs w:val="28"/>
        </w:rPr>
      </w:pPr>
      <w:r w:rsidRPr="00F0732E">
        <w:rPr>
          <w:rFonts w:ascii="Cambria" w:hAnsi="Cambria"/>
          <w:b/>
          <w:color w:val="000000"/>
          <w:sz w:val="28"/>
          <w:szCs w:val="28"/>
        </w:rPr>
        <w:tab/>
      </w:r>
    </w:p>
    <w:p w:rsidR="00B51749" w:rsidRPr="00F0732E" w:rsidRDefault="00B51749" w:rsidP="00B51749">
      <w:pPr>
        <w:pStyle w:val="Zkladntext"/>
        <w:rPr>
          <w:rFonts w:ascii="Cambria" w:hAnsi="Cambria"/>
          <w:b/>
          <w:color w:val="000000"/>
          <w:sz w:val="28"/>
          <w:szCs w:val="28"/>
        </w:rPr>
      </w:pPr>
    </w:p>
    <w:p w:rsidR="00B51749" w:rsidRPr="00F0732E" w:rsidRDefault="00B51749" w:rsidP="00B51749">
      <w:pPr>
        <w:pStyle w:val="Zkladntext"/>
        <w:rPr>
          <w:rFonts w:ascii="Cambria" w:hAnsi="Cambria"/>
          <w:b/>
          <w:color w:val="000000"/>
          <w:sz w:val="28"/>
          <w:szCs w:val="28"/>
        </w:rPr>
      </w:pPr>
      <w:r w:rsidRPr="00F0732E">
        <w:rPr>
          <w:rFonts w:ascii="Cambria" w:hAnsi="Cambria"/>
          <w:b/>
          <w:color w:val="000000"/>
          <w:sz w:val="28"/>
          <w:szCs w:val="28"/>
        </w:rPr>
        <w:lastRenderedPageBreak/>
        <w:t>Tabuľka 11.2: Medzinárodné vzdelávacie projekty riešené na STU v roku 2014</w:t>
      </w:r>
    </w:p>
    <w:p w:rsidR="00B51749" w:rsidRPr="00F0732E" w:rsidRDefault="00B51749" w:rsidP="00B51749">
      <w:pPr>
        <w:rPr>
          <w:color w:val="000000"/>
          <w:sz w:val="28"/>
          <w:szCs w:val="28"/>
          <w:lang w:eastAsia="sk-SK"/>
        </w:rPr>
      </w:pPr>
    </w:p>
    <w:tbl>
      <w:tblPr>
        <w:tblW w:w="8884" w:type="dxa"/>
        <w:tblInd w:w="65" w:type="dxa"/>
        <w:tblCellMar>
          <w:left w:w="70" w:type="dxa"/>
          <w:right w:w="70" w:type="dxa"/>
        </w:tblCellMar>
        <w:tblLook w:val="0000" w:firstRow="0" w:lastRow="0" w:firstColumn="0" w:lastColumn="0" w:noHBand="0" w:noVBand="0"/>
      </w:tblPr>
      <w:tblGrid>
        <w:gridCol w:w="1934"/>
        <w:gridCol w:w="838"/>
        <w:gridCol w:w="587"/>
        <w:gridCol w:w="529"/>
        <w:gridCol w:w="554"/>
        <w:gridCol w:w="1008"/>
        <w:gridCol w:w="580"/>
        <w:gridCol w:w="720"/>
        <w:gridCol w:w="670"/>
        <w:gridCol w:w="600"/>
        <w:gridCol w:w="864"/>
      </w:tblGrid>
      <w:tr w:rsidR="00B51749" w:rsidRPr="00F0732E" w:rsidTr="00447572">
        <w:trPr>
          <w:trHeight w:val="315"/>
        </w:trPr>
        <w:tc>
          <w:tcPr>
            <w:tcW w:w="1934" w:type="dxa"/>
            <w:tcBorders>
              <w:top w:val="single" w:sz="4" w:space="0" w:color="auto"/>
              <w:left w:val="single" w:sz="4" w:space="0" w:color="auto"/>
              <w:bottom w:val="single" w:sz="4" w:space="0" w:color="auto"/>
              <w:right w:val="single" w:sz="4" w:space="0" w:color="auto"/>
            </w:tcBorders>
            <w:noWrap/>
            <w:vAlign w:val="bottom"/>
          </w:tcPr>
          <w:p w:rsidR="00B51749" w:rsidRPr="00F0732E" w:rsidRDefault="00B51749" w:rsidP="00447572">
            <w:pPr>
              <w:jc w:val="center"/>
              <w:rPr>
                <w:b/>
                <w:color w:val="000000"/>
                <w:sz w:val="28"/>
                <w:szCs w:val="28"/>
                <w:lang w:eastAsia="sk-SK"/>
              </w:rPr>
            </w:pPr>
            <w:r w:rsidRPr="00F0732E">
              <w:rPr>
                <w:b/>
                <w:color w:val="000000"/>
                <w:sz w:val="28"/>
                <w:szCs w:val="28"/>
                <w:lang w:eastAsia="sk-SK"/>
              </w:rPr>
              <w:t>program</w:t>
            </w:r>
          </w:p>
        </w:tc>
        <w:tc>
          <w:tcPr>
            <w:tcW w:w="838"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RSTU</w:t>
            </w:r>
          </w:p>
        </w:tc>
        <w:tc>
          <w:tcPr>
            <w:tcW w:w="587"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SvF</w:t>
            </w:r>
          </w:p>
        </w:tc>
        <w:tc>
          <w:tcPr>
            <w:tcW w:w="529"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SjF</w:t>
            </w:r>
          </w:p>
        </w:tc>
        <w:tc>
          <w:tcPr>
            <w:tcW w:w="554"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FEI</w:t>
            </w:r>
          </w:p>
        </w:tc>
        <w:tc>
          <w:tcPr>
            <w:tcW w:w="1008"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FCHPT</w:t>
            </w:r>
          </w:p>
        </w:tc>
        <w:tc>
          <w:tcPr>
            <w:tcW w:w="580"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FA</w:t>
            </w:r>
          </w:p>
        </w:tc>
        <w:tc>
          <w:tcPr>
            <w:tcW w:w="720"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MTF</w:t>
            </w:r>
          </w:p>
        </w:tc>
        <w:tc>
          <w:tcPr>
            <w:tcW w:w="670"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FIIT</w:t>
            </w:r>
          </w:p>
        </w:tc>
        <w:tc>
          <w:tcPr>
            <w:tcW w:w="600"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ÚM</w:t>
            </w:r>
          </w:p>
        </w:tc>
        <w:tc>
          <w:tcPr>
            <w:tcW w:w="864" w:type="dxa"/>
            <w:tcBorders>
              <w:top w:val="single" w:sz="4" w:space="0" w:color="auto"/>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Spolu</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 xml:space="preserve">CEEPUS </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7</w:t>
            </w: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9</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Erasmus Mundus</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2</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Erasmus+</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1</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LLP</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2</w:t>
            </w: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3</w:t>
            </w: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3</w:t>
            </w: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2</w:t>
            </w: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11</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SlovakAid</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2</w:t>
            </w: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2</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 xml:space="preserve">Tempus </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r w:rsidRPr="00F0732E">
              <w:rPr>
                <w:color w:val="000000"/>
                <w:sz w:val="28"/>
                <w:szCs w:val="28"/>
                <w:lang w:eastAsia="sk-SK"/>
              </w:rPr>
              <w:t>1</w:t>
            </w: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2</w:t>
            </w:r>
          </w:p>
        </w:tc>
      </w:tr>
      <w:tr w:rsidR="00B51749" w:rsidRPr="00F0732E" w:rsidTr="00447572">
        <w:trPr>
          <w:trHeight w:val="315"/>
        </w:trPr>
        <w:tc>
          <w:tcPr>
            <w:tcW w:w="1934" w:type="dxa"/>
            <w:tcBorders>
              <w:top w:val="nil"/>
              <w:left w:val="single" w:sz="4" w:space="0" w:color="auto"/>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Spolu</w:t>
            </w:r>
          </w:p>
        </w:tc>
        <w:tc>
          <w:tcPr>
            <w:tcW w:w="838"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5</w:t>
            </w:r>
          </w:p>
        </w:tc>
        <w:tc>
          <w:tcPr>
            <w:tcW w:w="587"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2</w:t>
            </w:r>
          </w:p>
        </w:tc>
        <w:tc>
          <w:tcPr>
            <w:tcW w:w="529"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10</w:t>
            </w:r>
          </w:p>
        </w:tc>
        <w:tc>
          <w:tcPr>
            <w:tcW w:w="55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3</w:t>
            </w:r>
          </w:p>
        </w:tc>
        <w:tc>
          <w:tcPr>
            <w:tcW w:w="1008"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5</w:t>
            </w:r>
          </w:p>
        </w:tc>
        <w:tc>
          <w:tcPr>
            <w:tcW w:w="580"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p>
        </w:tc>
        <w:tc>
          <w:tcPr>
            <w:tcW w:w="720"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1</w:t>
            </w:r>
          </w:p>
        </w:tc>
        <w:tc>
          <w:tcPr>
            <w:tcW w:w="670"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1</w:t>
            </w:r>
          </w:p>
        </w:tc>
        <w:tc>
          <w:tcPr>
            <w:tcW w:w="600"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p>
        </w:tc>
        <w:tc>
          <w:tcPr>
            <w:tcW w:w="864" w:type="dxa"/>
            <w:tcBorders>
              <w:top w:val="nil"/>
              <w:left w:val="nil"/>
              <w:bottom w:val="single" w:sz="4" w:space="0" w:color="auto"/>
              <w:right w:val="single" w:sz="4" w:space="0" w:color="auto"/>
            </w:tcBorders>
            <w:noWrap/>
            <w:vAlign w:val="bottom"/>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27</w:t>
            </w:r>
          </w:p>
        </w:tc>
      </w:tr>
    </w:tbl>
    <w:p w:rsidR="00B51749" w:rsidRPr="00F0732E" w:rsidRDefault="00B51749" w:rsidP="00B51749">
      <w:pPr>
        <w:rPr>
          <w:color w:val="000000"/>
          <w:sz w:val="28"/>
          <w:szCs w:val="28"/>
        </w:rPr>
      </w:pPr>
    </w:p>
    <w:p w:rsidR="00B51749" w:rsidRPr="00F0732E" w:rsidRDefault="00B51749" w:rsidP="00B51749">
      <w:pPr>
        <w:rPr>
          <w:color w:val="000000"/>
          <w:sz w:val="28"/>
          <w:szCs w:val="28"/>
        </w:rPr>
      </w:pPr>
    </w:p>
    <w:p w:rsidR="00B51749" w:rsidRPr="00F0732E" w:rsidRDefault="00B51749" w:rsidP="00B51749">
      <w:pPr>
        <w:rPr>
          <w:color w:val="000000"/>
          <w:sz w:val="28"/>
          <w:szCs w:val="28"/>
        </w:rPr>
      </w:pPr>
      <w:r w:rsidRPr="00F0732E">
        <w:rPr>
          <w:color w:val="000000"/>
          <w:sz w:val="28"/>
          <w:szCs w:val="28"/>
        </w:rPr>
        <w:t>Najviac projektov v oblasti vzdelávania sa v roku 2014 riešilo v programoch Lifelong Learning Programme (LLP) a CEEPUS (Central European Exchange Program for University Studies).</w:t>
      </w:r>
    </w:p>
    <w:p w:rsidR="00B51749" w:rsidRPr="00F0732E" w:rsidRDefault="00B51749" w:rsidP="00B51749">
      <w:pPr>
        <w:rPr>
          <w:color w:val="000000"/>
          <w:sz w:val="28"/>
          <w:szCs w:val="28"/>
        </w:rPr>
      </w:pPr>
      <w:r w:rsidRPr="00F0732E">
        <w:rPr>
          <w:color w:val="000000"/>
          <w:sz w:val="28"/>
          <w:szCs w:val="28"/>
        </w:rPr>
        <w:t xml:space="preserve">Program CEEPUS podporuje výmenné pobyty študentov a učiteľov prostredníctvom vybudovaných sietí spolupracujúcich vysokých škôl. Program CEEPUS bol založený v roku 1995, od roku 2011 pokračuje ako CEEPUS III. </w:t>
      </w:r>
    </w:p>
    <w:p w:rsidR="00B51749" w:rsidRPr="00F0732E" w:rsidRDefault="00B51749" w:rsidP="00B51749">
      <w:pPr>
        <w:rPr>
          <w:color w:val="000000"/>
          <w:sz w:val="28"/>
          <w:szCs w:val="28"/>
        </w:rPr>
      </w:pPr>
      <w:r w:rsidRPr="00F0732E">
        <w:rPr>
          <w:color w:val="000000"/>
          <w:sz w:val="28"/>
          <w:szCs w:val="28"/>
        </w:rPr>
        <w:t xml:space="preserve">Cieľom programu Európskej únie Lifelong Learning Programme (LLP) je posilňovanie vzdelávania a odbornej prípravy na všetkých úrovniach vzdelávania. Program LLP nadviazal v akademickom roku 2007/2008 na predchádzajúci program Európskej únie Socrates a skončil sa akademickým rokom 2013/2014. </w:t>
      </w:r>
    </w:p>
    <w:p w:rsidR="00B51749" w:rsidRPr="00F0732E" w:rsidRDefault="00B51749" w:rsidP="00B51749">
      <w:pPr>
        <w:rPr>
          <w:color w:val="000000"/>
          <w:sz w:val="28"/>
          <w:szCs w:val="28"/>
        </w:rPr>
      </w:pPr>
      <w:r w:rsidRPr="00F0732E">
        <w:rPr>
          <w:color w:val="000000"/>
          <w:sz w:val="28"/>
          <w:szCs w:val="28"/>
        </w:rPr>
        <w:t xml:space="preserve">V rámci LLP sa na STU v roku 2014 riešilo 11 projektov v nasledujúcich podprogramoch LLP: </w:t>
      </w:r>
    </w:p>
    <w:p w:rsidR="00B51749" w:rsidRPr="00F0732E" w:rsidRDefault="00515B72" w:rsidP="00B51749">
      <w:pPr>
        <w:numPr>
          <w:ilvl w:val="0"/>
          <w:numId w:val="11"/>
        </w:numPr>
        <w:rPr>
          <w:bCs/>
          <w:color w:val="000000"/>
          <w:sz w:val="28"/>
          <w:szCs w:val="28"/>
        </w:rPr>
      </w:pPr>
      <w:r>
        <w:rPr>
          <w:color w:val="000000"/>
          <w:sz w:val="28"/>
          <w:szCs w:val="28"/>
        </w:rPr>
        <w:t>Leonardo da Vinci –</w:t>
      </w:r>
      <w:r w:rsidR="00B51749" w:rsidRPr="00F0732E">
        <w:rPr>
          <w:color w:val="000000"/>
          <w:sz w:val="28"/>
          <w:szCs w:val="28"/>
        </w:rPr>
        <w:t xml:space="preserve"> </w:t>
      </w:r>
      <w:r w:rsidR="00B51749" w:rsidRPr="00F0732E">
        <w:rPr>
          <w:bCs/>
          <w:color w:val="000000"/>
          <w:sz w:val="28"/>
          <w:szCs w:val="28"/>
        </w:rPr>
        <w:t xml:space="preserve">odborné vzdelávanie, </w:t>
      </w:r>
    </w:p>
    <w:p w:rsidR="00B51749" w:rsidRPr="00F0732E" w:rsidRDefault="00B51749" w:rsidP="00B51749">
      <w:pPr>
        <w:numPr>
          <w:ilvl w:val="0"/>
          <w:numId w:val="12"/>
        </w:numPr>
        <w:rPr>
          <w:bCs/>
          <w:color w:val="000000"/>
          <w:sz w:val="28"/>
          <w:szCs w:val="28"/>
        </w:rPr>
      </w:pPr>
      <w:r w:rsidRPr="00F0732E">
        <w:rPr>
          <w:color w:val="000000"/>
          <w:sz w:val="28"/>
          <w:szCs w:val="28"/>
        </w:rPr>
        <w:t xml:space="preserve">Erasmus </w:t>
      </w:r>
      <w:r w:rsidR="00515B72">
        <w:rPr>
          <w:color w:val="000000"/>
          <w:sz w:val="28"/>
          <w:szCs w:val="28"/>
        </w:rPr>
        <w:t>–</w:t>
      </w:r>
      <w:r w:rsidRPr="00F0732E">
        <w:rPr>
          <w:color w:val="000000"/>
          <w:sz w:val="28"/>
          <w:szCs w:val="28"/>
        </w:rPr>
        <w:t xml:space="preserve"> mobility študentov, učiteľov a pracovníkov, </w:t>
      </w:r>
    </w:p>
    <w:p w:rsidR="00B51749" w:rsidRPr="00F0732E" w:rsidRDefault="00B51749" w:rsidP="00B51749">
      <w:pPr>
        <w:numPr>
          <w:ilvl w:val="0"/>
          <w:numId w:val="12"/>
        </w:numPr>
        <w:rPr>
          <w:bCs/>
          <w:color w:val="000000"/>
          <w:sz w:val="28"/>
          <w:szCs w:val="28"/>
        </w:rPr>
      </w:pPr>
      <w:r w:rsidRPr="00F0732E">
        <w:rPr>
          <w:color w:val="000000"/>
          <w:sz w:val="28"/>
          <w:szCs w:val="28"/>
        </w:rPr>
        <w:t xml:space="preserve">Multilateral Projects </w:t>
      </w:r>
      <w:r w:rsidR="00515B72">
        <w:rPr>
          <w:color w:val="000000"/>
          <w:sz w:val="28"/>
          <w:szCs w:val="28"/>
        </w:rPr>
        <w:t>–</w:t>
      </w:r>
      <w:r w:rsidRPr="00F0732E">
        <w:rPr>
          <w:color w:val="000000"/>
          <w:sz w:val="28"/>
          <w:szCs w:val="28"/>
        </w:rPr>
        <w:t xml:space="preserve"> spolupráca univerzít s partnermi mimo oblasť vzdelávania, </w:t>
      </w:r>
    </w:p>
    <w:p w:rsidR="00B51749" w:rsidRPr="00F0732E" w:rsidRDefault="00B51749" w:rsidP="00B51749">
      <w:pPr>
        <w:numPr>
          <w:ilvl w:val="0"/>
          <w:numId w:val="12"/>
        </w:numPr>
        <w:rPr>
          <w:bCs/>
          <w:color w:val="000000"/>
          <w:sz w:val="28"/>
          <w:szCs w:val="28"/>
        </w:rPr>
      </w:pPr>
      <w:r w:rsidRPr="00F0732E">
        <w:rPr>
          <w:color w:val="000000"/>
          <w:sz w:val="28"/>
          <w:szCs w:val="28"/>
        </w:rPr>
        <w:t xml:space="preserve">Intensive Programs </w:t>
      </w:r>
      <w:r w:rsidR="00515B72">
        <w:rPr>
          <w:color w:val="000000"/>
          <w:sz w:val="28"/>
          <w:szCs w:val="28"/>
        </w:rPr>
        <w:t>–</w:t>
      </w:r>
      <w:r w:rsidRPr="00F0732E">
        <w:rPr>
          <w:color w:val="000000"/>
          <w:sz w:val="28"/>
          <w:szCs w:val="28"/>
        </w:rPr>
        <w:t xml:space="preserve"> výučba špeciálnych tém pre mnohonárodné skupiny, </w:t>
      </w:r>
    </w:p>
    <w:p w:rsidR="00B51749" w:rsidRPr="00F0732E" w:rsidRDefault="00B51749" w:rsidP="00B51749">
      <w:pPr>
        <w:numPr>
          <w:ilvl w:val="0"/>
          <w:numId w:val="12"/>
        </w:numPr>
        <w:rPr>
          <w:bCs/>
          <w:color w:val="000000"/>
          <w:sz w:val="28"/>
          <w:szCs w:val="28"/>
        </w:rPr>
      </w:pPr>
      <w:r w:rsidRPr="00F0732E">
        <w:rPr>
          <w:color w:val="000000"/>
          <w:sz w:val="28"/>
          <w:szCs w:val="28"/>
        </w:rPr>
        <w:t xml:space="preserve">Academic and Structural Networks </w:t>
      </w:r>
      <w:r w:rsidR="00515B72">
        <w:rPr>
          <w:color w:val="000000"/>
          <w:sz w:val="28"/>
          <w:szCs w:val="28"/>
        </w:rPr>
        <w:t>–</w:t>
      </w:r>
      <w:r w:rsidRPr="00F0732E">
        <w:rPr>
          <w:color w:val="000000"/>
          <w:sz w:val="28"/>
          <w:szCs w:val="28"/>
        </w:rPr>
        <w:t xml:space="preserve"> inovácie v špecifických študijných oblastiach,</w:t>
      </w:r>
    </w:p>
    <w:p w:rsidR="00B51749" w:rsidRPr="00F0732E" w:rsidRDefault="00B51749" w:rsidP="00B51749">
      <w:pPr>
        <w:rPr>
          <w:color w:val="000000"/>
          <w:sz w:val="28"/>
          <w:szCs w:val="28"/>
        </w:rPr>
      </w:pPr>
      <w:r w:rsidRPr="00F0732E">
        <w:rPr>
          <w:color w:val="000000"/>
          <w:sz w:val="28"/>
          <w:szCs w:val="28"/>
        </w:rPr>
        <w:t xml:space="preserve">Takisto sa na univerzite v roku 2014 úspešne riešili 2 projekty Európskej únie v programe Tempus IV, ktorý podporuje modernizáciu vysokoškolského vzdelávania v spolupráci so štátmi </w:t>
      </w:r>
      <w:r w:rsidRPr="00F0732E">
        <w:rPr>
          <w:color w:val="000000"/>
          <w:sz w:val="28"/>
          <w:szCs w:val="28"/>
        </w:rPr>
        <w:lastRenderedPageBreak/>
        <w:t xml:space="preserve">západného Balkánu, východnej Európy, strednej Ázie, severnej Afriky a stredného Východu. </w:t>
      </w:r>
    </w:p>
    <w:p w:rsidR="00B51749" w:rsidRPr="00F0732E" w:rsidRDefault="00B51749" w:rsidP="00B51749">
      <w:pPr>
        <w:outlineLvl w:val="3"/>
        <w:rPr>
          <w:color w:val="000000"/>
          <w:sz w:val="28"/>
          <w:szCs w:val="28"/>
        </w:rPr>
      </w:pPr>
      <w:r w:rsidRPr="00F0732E">
        <w:rPr>
          <w:color w:val="000000"/>
          <w:sz w:val="28"/>
          <w:szCs w:val="28"/>
        </w:rPr>
        <w:t xml:space="preserve">V roku 2014 sa na STU riešili aj 2 projekty programu Európskej únie Erasmus Mundus, ktorý podporuje spoluprácu a mobility v oblasti vysokoškolského vzdelávania medzi štátmi EÚ a tretími štátmi. </w:t>
      </w:r>
    </w:p>
    <w:p w:rsidR="00B51749" w:rsidRPr="00F0732E" w:rsidRDefault="00B51749" w:rsidP="00B51749">
      <w:pPr>
        <w:rPr>
          <w:color w:val="000000"/>
          <w:sz w:val="28"/>
          <w:szCs w:val="28"/>
        </w:rPr>
      </w:pPr>
    </w:p>
    <w:p w:rsidR="00B51749" w:rsidRPr="00F0732E" w:rsidRDefault="00B51749" w:rsidP="00B51749">
      <w:pPr>
        <w:rPr>
          <w:color w:val="000000"/>
          <w:sz w:val="28"/>
          <w:szCs w:val="28"/>
        </w:rPr>
      </w:pPr>
      <w:r w:rsidRPr="00F0732E">
        <w:rPr>
          <w:color w:val="000000"/>
          <w:sz w:val="28"/>
          <w:szCs w:val="28"/>
        </w:rPr>
        <w:t xml:space="preserve">Nakoľko v roku 2014 Európsky parlament schválil nový program EÚ s názvom ERASMUS+, v roku 2015 sú už pôvodné programy EÚ pre vzdelávanie, odbornú prípravu, mládež a šport </w:t>
      </w:r>
      <w:r w:rsidR="00515B72">
        <w:rPr>
          <w:color w:val="000000"/>
          <w:sz w:val="28"/>
          <w:szCs w:val="28"/>
        </w:rPr>
        <w:t>–</w:t>
      </w:r>
      <w:r w:rsidRPr="00F0732E">
        <w:rPr>
          <w:color w:val="000000"/>
          <w:sz w:val="28"/>
          <w:szCs w:val="28"/>
        </w:rPr>
        <w:t xml:space="preserve"> vrátane programu celoživotného vzdelávania (Erasmus, Leonardo da Vinci, Comenius, Grundtvig), programu Mládež v akcii, a piatich programov medzinárodnej spolupráce (Erasmus Mundus, Tempus atď.) riešené a evidované pod horeuvedeným novým programom </w:t>
      </w:r>
      <w:r w:rsidR="00515B72">
        <w:rPr>
          <w:color w:val="000000"/>
          <w:sz w:val="28"/>
          <w:szCs w:val="28"/>
        </w:rPr>
        <w:t>–</w:t>
      </w:r>
      <w:r w:rsidRPr="00F0732E">
        <w:rPr>
          <w:color w:val="000000"/>
          <w:sz w:val="28"/>
          <w:szCs w:val="28"/>
        </w:rPr>
        <w:t xml:space="preserve"> ERASMUS+.   </w:t>
      </w:r>
    </w:p>
    <w:p w:rsidR="00B51749" w:rsidRPr="00F0732E" w:rsidRDefault="00B51749" w:rsidP="00B51749">
      <w:pPr>
        <w:rPr>
          <w:color w:val="000000"/>
          <w:sz w:val="28"/>
          <w:szCs w:val="28"/>
        </w:rPr>
      </w:pPr>
    </w:p>
    <w:p w:rsidR="00B51749" w:rsidRPr="00F0732E" w:rsidRDefault="00B51749" w:rsidP="00B51749">
      <w:pPr>
        <w:rPr>
          <w:color w:val="000000"/>
          <w:sz w:val="28"/>
          <w:szCs w:val="28"/>
        </w:rPr>
      </w:pPr>
      <w:r w:rsidRPr="00F0732E">
        <w:rPr>
          <w:color w:val="000000"/>
          <w:sz w:val="28"/>
          <w:szCs w:val="28"/>
        </w:rPr>
        <w:t>Informácie o projektoch riešených na STU sú dostupné v slovenskej i v anglickej verzii web stránky STU a v Akademickom informačnom systéme AIS.</w:t>
      </w:r>
    </w:p>
    <w:p w:rsidR="00B51749" w:rsidRPr="00F0732E" w:rsidRDefault="00B51749" w:rsidP="00B51749">
      <w:pPr>
        <w:rPr>
          <w:color w:val="000000"/>
          <w:sz w:val="28"/>
          <w:szCs w:val="28"/>
        </w:rPr>
      </w:pPr>
    </w:p>
    <w:p w:rsidR="00B51749" w:rsidRPr="00F0732E" w:rsidRDefault="00B51749" w:rsidP="00B51749">
      <w:pPr>
        <w:pStyle w:val="Nadpis2"/>
        <w:rPr>
          <w:rFonts w:ascii="Cambria" w:hAnsi="Cambria"/>
          <w:color w:val="auto"/>
        </w:rPr>
      </w:pPr>
      <w:bookmarkStart w:id="68" w:name="_Toc413009365"/>
      <w:r w:rsidRPr="00F0732E">
        <w:rPr>
          <w:rFonts w:ascii="Cambria" w:hAnsi="Cambria"/>
          <w:color w:val="auto"/>
        </w:rPr>
        <w:t>Mobility študentov a </w:t>
      </w:r>
      <w:bookmarkEnd w:id="67"/>
      <w:r w:rsidRPr="00F0732E">
        <w:rPr>
          <w:rFonts w:ascii="Cambria" w:hAnsi="Cambria"/>
          <w:color w:val="auto"/>
        </w:rPr>
        <w:t>zamestnancov</w:t>
      </w:r>
      <w:bookmarkEnd w:id="68"/>
      <w:r w:rsidRPr="00F0732E">
        <w:rPr>
          <w:rFonts w:ascii="Cambria" w:hAnsi="Cambria"/>
          <w:color w:val="auto"/>
        </w:rPr>
        <w:t xml:space="preserve"> </w:t>
      </w:r>
    </w:p>
    <w:p w:rsidR="00B51749" w:rsidRPr="00F0732E" w:rsidRDefault="00B51749" w:rsidP="00B51749">
      <w:pPr>
        <w:rPr>
          <w:color w:val="FF0000"/>
          <w:sz w:val="28"/>
          <w:szCs w:val="28"/>
          <w:lang w:eastAsia="cs-CZ"/>
        </w:rPr>
      </w:pPr>
    </w:p>
    <w:p w:rsidR="00B51749" w:rsidRPr="00F0732E" w:rsidRDefault="00B51749" w:rsidP="00B51749">
      <w:pPr>
        <w:rPr>
          <w:rFonts w:eastAsia="Times New Roman"/>
          <w:color w:val="000000"/>
          <w:sz w:val="28"/>
          <w:szCs w:val="28"/>
          <w:lang w:eastAsia="ko-KR"/>
        </w:rPr>
      </w:pPr>
      <w:r w:rsidRPr="00F0732E">
        <w:rPr>
          <w:rFonts w:eastAsia="Times New Roman"/>
          <w:color w:val="000000"/>
          <w:sz w:val="28"/>
          <w:szCs w:val="28"/>
          <w:lang w:eastAsia="ko-KR"/>
        </w:rPr>
        <w:t>Mobilita študentov, vysokoškolských učiteľov a výskumných pracovníkov je prínosom pre krajiny pôvodu a ich alma-mater, ale aj pre hostiteľské krajiny a inštitúcie. Je dôležité podporovať obojsmernú mobilitu, aby sa zabránilo znižovaniu kvalifikovaných ľudských zdrojov nevyhnutných pre rozvoj akademických inštitúcií i celej spoločnosti.</w:t>
      </w:r>
    </w:p>
    <w:p w:rsidR="00B51749" w:rsidRPr="00F0732E" w:rsidRDefault="00B51749" w:rsidP="00B51749">
      <w:pPr>
        <w:pStyle w:val="Zkladntext2"/>
        <w:rPr>
          <w:rFonts w:ascii="Cambria" w:hAnsi="Cambria"/>
          <w:color w:val="000000"/>
          <w:sz w:val="28"/>
          <w:szCs w:val="28"/>
        </w:rPr>
      </w:pPr>
      <w:r w:rsidRPr="00F0732E">
        <w:rPr>
          <w:rFonts w:ascii="Cambria" w:hAnsi="Cambria"/>
          <w:color w:val="000000"/>
          <w:sz w:val="28"/>
          <w:szCs w:val="28"/>
        </w:rPr>
        <w:t>Mobility učiteľov a výskumných zamestnancov sú zamerané najmä na realizáciu výučby a výskumu na partnerskej inštitúcii. V prípade mobilít administratívnych z</w:t>
      </w:r>
      <w:r w:rsidR="00515B72">
        <w:rPr>
          <w:rFonts w:ascii="Cambria" w:hAnsi="Cambria"/>
          <w:color w:val="000000"/>
          <w:sz w:val="28"/>
          <w:szCs w:val="28"/>
        </w:rPr>
        <w:t xml:space="preserve">amestnancov ide predovšetkým o </w:t>
      </w:r>
      <w:r w:rsidRPr="00F0732E">
        <w:rPr>
          <w:rFonts w:ascii="Cambria" w:hAnsi="Cambria"/>
          <w:color w:val="000000"/>
          <w:sz w:val="28"/>
          <w:szCs w:val="28"/>
        </w:rPr>
        <w:t xml:space="preserve">školenia. </w:t>
      </w:r>
    </w:p>
    <w:p w:rsidR="00B51749" w:rsidRPr="00F0732E" w:rsidRDefault="00B51749" w:rsidP="00B51749">
      <w:pPr>
        <w:pStyle w:val="Zkladntext2"/>
        <w:rPr>
          <w:rFonts w:ascii="Cambria" w:hAnsi="Cambria"/>
          <w:color w:val="000000"/>
          <w:sz w:val="28"/>
          <w:szCs w:val="28"/>
        </w:rPr>
      </w:pPr>
      <w:r w:rsidRPr="00F0732E">
        <w:rPr>
          <w:rFonts w:ascii="Cambria" w:hAnsi="Cambria"/>
          <w:color w:val="000000"/>
          <w:sz w:val="28"/>
          <w:szCs w:val="28"/>
        </w:rPr>
        <w:t xml:space="preserve">Univerzita realizovala mobility študentov, svojich zamestnancov a prijímanie zahraničných zamestnancov prevažne cez nasledujúce medzinárodné programy: </w:t>
      </w:r>
    </w:p>
    <w:p w:rsidR="00B51749" w:rsidRPr="00F0732E" w:rsidRDefault="00B51749" w:rsidP="00B51749">
      <w:pPr>
        <w:pStyle w:val="Zkladntext2"/>
        <w:numPr>
          <w:ilvl w:val="0"/>
          <w:numId w:val="37"/>
        </w:numPr>
        <w:rPr>
          <w:rFonts w:ascii="Cambria" w:hAnsi="Cambria" w:cs="Arial"/>
          <w:color w:val="000000"/>
          <w:sz w:val="28"/>
          <w:szCs w:val="28"/>
        </w:rPr>
      </w:pPr>
      <w:r w:rsidRPr="00F0732E">
        <w:rPr>
          <w:rFonts w:ascii="Cambria" w:hAnsi="Cambria" w:cs="Arial"/>
          <w:color w:val="000000"/>
          <w:sz w:val="28"/>
          <w:szCs w:val="28"/>
        </w:rPr>
        <w:t xml:space="preserve">Erasmus </w:t>
      </w:r>
      <w:r w:rsidR="00515B72">
        <w:rPr>
          <w:rFonts w:ascii="Cambria" w:hAnsi="Cambria" w:cs="Arial"/>
          <w:color w:val="000000"/>
          <w:sz w:val="28"/>
          <w:szCs w:val="28"/>
        </w:rPr>
        <w:t>–</w:t>
      </w:r>
      <w:r w:rsidRPr="00F0732E">
        <w:rPr>
          <w:rFonts w:ascii="Cambria" w:hAnsi="Cambria" w:cs="Arial"/>
          <w:color w:val="000000"/>
          <w:sz w:val="28"/>
          <w:szCs w:val="28"/>
        </w:rPr>
        <w:t xml:space="preserve"> podporuje mobility študentov, učiteľov a zamestnancov zo zdrojov Európskej únie.</w:t>
      </w:r>
    </w:p>
    <w:p w:rsidR="00B51749" w:rsidRPr="00F0732E" w:rsidRDefault="00B51749" w:rsidP="00B51749">
      <w:pPr>
        <w:pStyle w:val="Zkladntext2"/>
        <w:numPr>
          <w:ilvl w:val="0"/>
          <w:numId w:val="37"/>
        </w:numPr>
        <w:rPr>
          <w:rFonts w:ascii="Cambria" w:hAnsi="Cambria" w:cs="Arial"/>
          <w:strike/>
          <w:color w:val="000000"/>
          <w:sz w:val="28"/>
          <w:szCs w:val="28"/>
        </w:rPr>
      </w:pPr>
      <w:r w:rsidRPr="00F0732E">
        <w:rPr>
          <w:rFonts w:ascii="Cambria" w:hAnsi="Cambria" w:cs="Arial"/>
          <w:color w:val="000000"/>
          <w:sz w:val="28"/>
          <w:szCs w:val="28"/>
        </w:rPr>
        <w:t xml:space="preserve">Národný štipendijný program Slovenskej republiky (NŠP) </w:t>
      </w:r>
      <w:r w:rsidR="00515B72">
        <w:rPr>
          <w:rFonts w:ascii="Cambria" w:hAnsi="Cambria" w:cs="Arial"/>
          <w:color w:val="000000"/>
          <w:sz w:val="28"/>
          <w:szCs w:val="28"/>
        </w:rPr>
        <w:t>–</w:t>
      </w:r>
      <w:r w:rsidRPr="00F0732E">
        <w:rPr>
          <w:rFonts w:ascii="Cambria" w:hAnsi="Cambria" w:cs="Arial"/>
          <w:color w:val="000000"/>
          <w:sz w:val="28"/>
          <w:szCs w:val="28"/>
        </w:rPr>
        <w:t xml:space="preserve"> určený na podporu mobilít študentov, doktorandov, vysokoškolských učiteľov, a výskumných/umeleckých </w:t>
      </w:r>
      <w:r w:rsidRPr="00F0732E">
        <w:rPr>
          <w:rFonts w:ascii="Cambria" w:hAnsi="Cambria" w:cs="Arial"/>
          <w:color w:val="000000"/>
          <w:sz w:val="28"/>
          <w:szCs w:val="28"/>
        </w:rPr>
        <w:lastRenderedPageBreak/>
        <w:t>zamestnancov. Je financovaný Ministerstvom školstva, vedy, výskumu a športu SR.</w:t>
      </w:r>
    </w:p>
    <w:p w:rsidR="00B51749" w:rsidRPr="00F0732E" w:rsidRDefault="00B51749" w:rsidP="00B51749">
      <w:pPr>
        <w:pStyle w:val="Zkladntext2"/>
        <w:numPr>
          <w:ilvl w:val="0"/>
          <w:numId w:val="37"/>
        </w:numPr>
        <w:rPr>
          <w:rFonts w:ascii="Cambria" w:hAnsi="Cambria"/>
          <w:color w:val="000000"/>
          <w:sz w:val="28"/>
          <w:szCs w:val="28"/>
        </w:rPr>
      </w:pPr>
      <w:r w:rsidRPr="00F0732E">
        <w:rPr>
          <w:rFonts w:ascii="Cambria" w:hAnsi="Cambria" w:cs="Arial"/>
          <w:color w:val="000000"/>
          <w:sz w:val="28"/>
          <w:szCs w:val="28"/>
        </w:rPr>
        <w:t xml:space="preserve">CEEPUS </w:t>
      </w:r>
      <w:r w:rsidR="00515B72">
        <w:rPr>
          <w:rFonts w:ascii="Cambria" w:hAnsi="Cambria" w:cs="Arial"/>
          <w:color w:val="000000"/>
          <w:sz w:val="28"/>
          <w:szCs w:val="28"/>
        </w:rPr>
        <w:t>–</w:t>
      </w:r>
      <w:r w:rsidRPr="00F0732E">
        <w:rPr>
          <w:rFonts w:ascii="Cambria" w:hAnsi="Cambria" w:cs="Arial"/>
          <w:color w:val="000000"/>
          <w:sz w:val="28"/>
          <w:szCs w:val="28"/>
        </w:rPr>
        <w:t xml:space="preserve"> stredoeurópsky výmenný program pre univerzitné štúdiá (CEEPUS) podporuje akademické mobility v strednej, východnej a juhovýchodnej Európe, prispieva k európskej integrácii a zdôrazňuje</w:t>
      </w:r>
      <w:r w:rsidRPr="00F0732E">
        <w:rPr>
          <w:rFonts w:ascii="Cambria" w:hAnsi="Cambria"/>
          <w:color w:val="000000"/>
          <w:sz w:val="28"/>
          <w:szCs w:val="28"/>
        </w:rPr>
        <w:t xml:space="preserve"> regionálne špecifiká.</w:t>
      </w:r>
    </w:p>
    <w:p w:rsidR="00B51749" w:rsidRPr="00F0732E" w:rsidRDefault="00B51749" w:rsidP="00B51749">
      <w:pPr>
        <w:pStyle w:val="Zkladntext2"/>
        <w:rPr>
          <w:rFonts w:ascii="Cambria" w:hAnsi="Cambria"/>
          <w:color w:val="000000"/>
          <w:sz w:val="28"/>
          <w:szCs w:val="28"/>
        </w:rPr>
      </w:pPr>
      <w:r w:rsidRPr="00F0732E">
        <w:rPr>
          <w:rFonts w:ascii="Cambria" w:hAnsi="Cambria"/>
          <w:color w:val="000000"/>
          <w:sz w:val="28"/>
          <w:szCs w:val="28"/>
        </w:rPr>
        <w:t xml:space="preserve">S veľkou prevahou sa realizujú mobility študentov i zamestnancov cez program Erasmus. Prehľad o študentských mobilitách v rámci tohto programu </w:t>
      </w:r>
      <w:r w:rsidR="00515B72">
        <w:rPr>
          <w:rFonts w:ascii="Cambria" w:hAnsi="Cambria"/>
          <w:color w:val="000000"/>
          <w:sz w:val="28"/>
          <w:szCs w:val="28"/>
        </w:rPr>
        <w:t>je v</w:t>
      </w:r>
      <w:r w:rsidR="001432FD">
        <w:rPr>
          <w:rFonts w:ascii="Cambria" w:hAnsi="Cambria"/>
          <w:color w:val="000000"/>
          <w:sz w:val="28"/>
          <w:szCs w:val="28"/>
        </w:rPr>
        <w:t> T</w:t>
      </w:r>
      <w:r w:rsidRPr="00F0732E">
        <w:rPr>
          <w:rFonts w:ascii="Cambria" w:hAnsi="Cambria"/>
          <w:color w:val="000000"/>
          <w:sz w:val="28"/>
          <w:szCs w:val="28"/>
        </w:rPr>
        <w:t>abuľk</w:t>
      </w:r>
      <w:r w:rsidR="00515B72">
        <w:rPr>
          <w:rFonts w:ascii="Cambria" w:hAnsi="Cambria"/>
          <w:color w:val="000000"/>
          <w:sz w:val="28"/>
          <w:szCs w:val="28"/>
        </w:rPr>
        <w:t>e</w:t>
      </w:r>
      <w:r w:rsidR="001432FD">
        <w:rPr>
          <w:rFonts w:ascii="Cambria" w:hAnsi="Cambria"/>
          <w:color w:val="000000"/>
          <w:sz w:val="28"/>
          <w:szCs w:val="28"/>
        </w:rPr>
        <w:t xml:space="preserve"> 11.3</w:t>
      </w:r>
      <w:r w:rsidRPr="00F0732E">
        <w:rPr>
          <w:rFonts w:ascii="Cambria" w:hAnsi="Cambria"/>
          <w:color w:val="000000"/>
          <w:sz w:val="28"/>
          <w:szCs w:val="28"/>
        </w:rPr>
        <w:t>.</w:t>
      </w:r>
    </w:p>
    <w:p w:rsidR="00B51749" w:rsidRPr="00F0732E" w:rsidRDefault="00B51749" w:rsidP="00B51749">
      <w:pPr>
        <w:pStyle w:val="Zkladntext2"/>
        <w:tabs>
          <w:tab w:val="left" w:pos="3210"/>
        </w:tabs>
        <w:rPr>
          <w:rFonts w:ascii="Cambria" w:hAnsi="Cambria"/>
          <w:color w:val="000000"/>
          <w:sz w:val="28"/>
          <w:szCs w:val="28"/>
        </w:rPr>
      </w:pPr>
      <w:r w:rsidRPr="00F0732E">
        <w:rPr>
          <w:rFonts w:ascii="Cambria" w:hAnsi="Cambria"/>
          <w:color w:val="000000"/>
          <w:sz w:val="28"/>
          <w:szCs w:val="28"/>
        </w:rPr>
        <w:tab/>
      </w:r>
    </w:p>
    <w:p w:rsidR="00B51749" w:rsidRPr="00F0732E" w:rsidRDefault="00B51749" w:rsidP="00B51749">
      <w:pPr>
        <w:pStyle w:val="Zkladntext2"/>
        <w:rPr>
          <w:rFonts w:ascii="Cambria" w:hAnsi="Cambria"/>
          <w:b/>
          <w:color w:val="000000"/>
          <w:sz w:val="28"/>
          <w:szCs w:val="28"/>
        </w:rPr>
      </w:pPr>
      <w:r w:rsidRPr="00F0732E">
        <w:rPr>
          <w:rFonts w:ascii="Cambria" w:hAnsi="Cambria"/>
          <w:b/>
          <w:color w:val="000000"/>
          <w:sz w:val="28"/>
          <w:szCs w:val="28"/>
        </w:rPr>
        <w:t>Tabuľka 11.3: Mobility študentov v rámci ERASMUS v roku 2013/14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164"/>
        <w:gridCol w:w="1276"/>
      </w:tblGrid>
      <w:tr w:rsidR="00B51749" w:rsidRPr="00F0732E" w:rsidTr="00447572">
        <w:tc>
          <w:tcPr>
            <w:tcW w:w="2253" w:type="dxa"/>
            <w:shd w:val="clear" w:color="auto" w:fill="auto"/>
          </w:tcPr>
          <w:p w:rsidR="00B51749" w:rsidRPr="00F0732E" w:rsidRDefault="00B51749" w:rsidP="00447572">
            <w:pPr>
              <w:pStyle w:val="Zkladntext2"/>
              <w:jc w:val="center"/>
              <w:rPr>
                <w:rFonts w:ascii="Cambria" w:hAnsi="Cambria"/>
                <w:color w:val="000000"/>
                <w:sz w:val="28"/>
                <w:szCs w:val="28"/>
              </w:rPr>
            </w:pPr>
            <w:r w:rsidRPr="00F0732E">
              <w:rPr>
                <w:rFonts w:ascii="Cambria" w:hAnsi="Cambria"/>
                <w:b/>
                <w:color w:val="000000"/>
                <w:sz w:val="28"/>
                <w:szCs w:val="28"/>
              </w:rPr>
              <w:t>STU</w:t>
            </w:r>
          </w:p>
        </w:tc>
        <w:tc>
          <w:tcPr>
            <w:tcW w:w="2425" w:type="dxa"/>
            <w:gridSpan w:val="2"/>
            <w:shd w:val="clear" w:color="auto" w:fill="auto"/>
          </w:tcPr>
          <w:p w:rsidR="00B51749" w:rsidRPr="00F0732E" w:rsidRDefault="00B51749" w:rsidP="00447572">
            <w:pPr>
              <w:pStyle w:val="Zkladntext2"/>
              <w:jc w:val="center"/>
              <w:rPr>
                <w:rFonts w:ascii="Cambria" w:hAnsi="Cambria"/>
                <w:color w:val="000000"/>
                <w:sz w:val="28"/>
                <w:szCs w:val="28"/>
              </w:rPr>
            </w:pPr>
            <w:r w:rsidRPr="00F0732E">
              <w:rPr>
                <w:rFonts w:ascii="Cambria" w:hAnsi="Cambria"/>
                <w:b/>
                <w:color w:val="000000"/>
                <w:sz w:val="28"/>
                <w:szCs w:val="28"/>
              </w:rPr>
              <w:t>ERASMUS</w:t>
            </w:r>
          </w:p>
        </w:tc>
      </w:tr>
      <w:tr w:rsidR="00B51749" w:rsidRPr="00F0732E" w:rsidTr="00447572">
        <w:tc>
          <w:tcPr>
            <w:tcW w:w="2253" w:type="dxa"/>
            <w:shd w:val="clear" w:color="auto" w:fill="auto"/>
          </w:tcPr>
          <w:p w:rsidR="00B51749" w:rsidRPr="00F0732E" w:rsidRDefault="00B51749" w:rsidP="00447572">
            <w:pPr>
              <w:pStyle w:val="Zkladntext2"/>
              <w:jc w:val="center"/>
              <w:rPr>
                <w:rFonts w:ascii="Cambria" w:hAnsi="Cambria"/>
                <w:color w:val="000000"/>
                <w:sz w:val="28"/>
                <w:szCs w:val="28"/>
              </w:rPr>
            </w:pPr>
          </w:p>
        </w:tc>
        <w:tc>
          <w:tcPr>
            <w:tcW w:w="1149" w:type="dxa"/>
            <w:shd w:val="clear" w:color="auto" w:fill="auto"/>
          </w:tcPr>
          <w:p w:rsidR="00B51749" w:rsidRPr="00F0732E" w:rsidRDefault="00B51749" w:rsidP="00447572">
            <w:pPr>
              <w:pStyle w:val="Zkladntext2"/>
              <w:jc w:val="center"/>
              <w:rPr>
                <w:rFonts w:ascii="Cambria" w:hAnsi="Cambria"/>
                <w:color w:val="000000"/>
                <w:sz w:val="28"/>
                <w:szCs w:val="28"/>
              </w:rPr>
            </w:pPr>
            <w:r w:rsidRPr="00F0732E">
              <w:rPr>
                <w:rFonts w:ascii="Cambria" w:hAnsi="Cambria"/>
                <w:b/>
                <w:color w:val="000000"/>
                <w:sz w:val="28"/>
                <w:szCs w:val="28"/>
              </w:rPr>
              <w:t>Vyslaní</w:t>
            </w:r>
          </w:p>
        </w:tc>
        <w:tc>
          <w:tcPr>
            <w:tcW w:w="1276" w:type="dxa"/>
            <w:shd w:val="clear" w:color="auto" w:fill="auto"/>
          </w:tcPr>
          <w:p w:rsidR="00B51749" w:rsidRPr="00F0732E" w:rsidRDefault="00B51749" w:rsidP="00447572">
            <w:pPr>
              <w:pStyle w:val="Zkladntext2"/>
              <w:jc w:val="center"/>
              <w:rPr>
                <w:rFonts w:ascii="Cambria" w:hAnsi="Cambria"/>
                <w:color w:val="000000"/>
                <w:sz w:val="28"/>
                <w:szCs w:val="28"/>
              </w:rPr>
            </w:pPr>
            <w:r w:rsidRPr="00F0732E">
              <w:rPr>
                <w:rFonts w:ascii="Cambria" w:hAnsi="Cambria"/>
                <w:b/>
                <w:color w:val="000000"/>
                <w:sz w:val="28"/>
                <w:szCs w:val="28"/>
              </w:rPr>
              <w:t>Prijatí</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SvF</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59</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19</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SjF</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23</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13</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FEI</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20</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16</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FCHPT</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18</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11</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FA</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76</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24</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MTF</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11</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FIIT</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12</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ÚM</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11</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4</w:t>
            </w:r>
          </w:p>
        </w:tc>
      </w:tr>
      <w:tr w:rsidR="00B51749" w:rsidRPr="00F0732E" w:rsidTr="00447572">
        <w:tc>
          <w:tcPr>
            <w:tcW w:w="2253" w:type="dxa"/>
            <w:shd w:val="clear" w:color="auto" w:fill="auto"/>
          </w:tcPr>
          <w:p w:rsidR="00B51749" w:rsidRPr="00F0732E" w:rsidRDefault="00B51749" w:rsidP="00447572">
            <w:pPr>
              <w:jc w:val="center"/>
              <w:rPr>
                <w:color w:val="000000"/>
                <w:sz w:val="28"/>
                <w:szCs w:val="28"/>
                <w:lang w:eastAsia="sk-SK"/>
              </w:rPr>
            </w:pPr>
            <w:r w:rsidRPr="00F0732E">
              <w:rPr>
                <w:b/>
                <w:bCs/>
                <w:color w:val="000000"/>
                <w:sz w:val="28"/>
                <w:szCs w:val="28"/>
                <w:lang w:eastAsia="sk-SK"/>
              </w:rPr>
              <w:t>Spolu</w:t>
            </w:r>
          </w:p>
        </w:tc>
        <w:tc>
          <w:tcPr>
            <w:tcW w:w="1149"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230</w:t>
            </w:r>
          </w:p>
        </w:tc>
        <w:tc>
          <w:tcPr>
            <w:tcW w:w="1276" w:type="dxa"/>
            <w:shd w:val="clear" w:color="auto" w:fill="auto"/>
          </w:tcPr>
          <w:p w:rsidR="00B51749" w:rsidRPr="00F0732E" w:rsidRDefault="00B51749" w:rsidP="00447572">
            <w:pPr>
              <w:pStyle w:val="Zkladntext2"/>
              <w:rPr>
                <w:rFonts w:ascii="Cambria" w:hAnsi="Cambria"/>
                <w:color w:val="000000"/>
                <w:sz w:val="28"/>
                <w:szCs w:val="28"/>
              </w:rPr>
            </w:pPr>
            <w:r w:rsidRPr="00F0732E">
              <w:rPr>
                <w:rFonts w:ascii="Cambria" w:hAnsi="Cambria"/>
                <w:color w:val="000000"/>
                <w:sz w:val="28"/>
                <w:szCs w:val="28"/>
              </w:rPr>
              <w:t>89</w:t>
            </w:r>
          </w:p>
        </w:tc>
      </w:tr>
    </w:tbl>
    <w:p w:rsidR="00B51749" w:rsidRPr="00F0732E" w:rsidRDefault="00B51749" w:rsidP="00B51749">
      <w:pPr>
        <w:pStyle w:val="Zkladntext2"/>
        <w:rPr>
          <w:rFonts w:ascii="Cambria" w:hAnsi="Cambria"/>
          <w:color w:val="FF0000"/>
          <w:sz w:val="28"/>
          <w:szCs w:val="28"/>
        </w:rPr>
      </w:pPr>
    </w:p>
    <w:p w:rsidR="00B51749" w:rsidRPr="00F0732E" w:rsidRDefault="00B51749" w:rsidP="00B51749">
      <w:pPr>
        <w:pStyle w:val="Nadpis2"/>
        <w:rPr>
          <w:rFonts w:ascii="Cambria" w:hAnsi="Cambria"/>
          <w:color w:val="auto"/>
        </w:rPr>
      </w:pPr>
      <w:r w:rsidRPr="00F0732E">
        <w:rPr>
          <w:rFonts w:ascii="Cambria" w:hAnsi="Cambria"/>
          <w:color w:val="FF0000"/>
        </w:rPr>
        <w:t xml:space="preserve"> </w:t>
      </w:r>
      <w:bookmarkStart w:id="69" w:name="_Toc413009366"/>
      <w:r w:rsidRPr="00F0732E">
        <w:rPr>
          <w:rFonts w:ascii="Cambria" w:hAnsi="Cambria"/>
          <w:color w:val="auto"/>
        </w:rPr>
        <w:t>Pôsobenie STU v medzinárodných organizáciách a sieťach</w:t>
      </w:r>
      <w:bookmarkEnd w:id="69"/>
      <w:r w:rsidRPr="00F0732E">
        <w:rPr>
          <w:rFonts w:ascii="Cambria" w:hAnsi="Cambria"/>
          <w:color w:val="auto"/>
        </w:rPr>
        <w:t xml:space="preserve"> </w:t>
      </w:r>
    </w:p>
    <w:p w:rsidR="00B51749" w:rsidRPr="00F0732E" w:rsidRDefault="00B51749" w:rsidP="00B51749">
      <w:pPr>
        <w:rPr>
          <w:color w:val="FF0000"/>
          <w:sz w:val="28"/>
          <w:szCs w:val="28"/>
          <w:lang w:eastAsia="cs-CZ"/>
        </w:rPr>
      </w:pPr>
    </w:p>
    <w:p w:rsidR="00B51749" w:rsidRPr="00F0732E" w:rsidRDefault="00B51749" w:rsidP="00B51749">
      <w:pPr>
        <w:pStyle w:val="Zkladntext"/>
        <w:rPr>
          <w:rFonts w:ascii="Cambria" w:hAnsi="Cambria"/>
          <w:color w:val="000000"/>
          <w:sz w:val="28"/>
          <w:szCs w:val="28"/>
        </w:rPr>
      </w:pPr>
      <w:bookmarkStart w:id="70" w:name="_Toc349024727"/>
      <w:r w:rsidRPr="00F0732E">
        <w:rPr>
          <w:rFonts w:ascii="Cambria" w:hAnsi="Cambria"/>
          <w:color w:val="000000"/>
          <w:sz w:val="28"/>
          <w:szCs w:val="28"/>
        </w:rPr>
        <w:t xml:space="preserve">     STU, jej fakulty a jednotliví zamestnanci sa aktívne podieľajú na medzinárodnej spolupráci svojím pôsobením vo významných európskych a svetových odborných vedeckých, technických a umeleckých organizáciách, asociáciách či sieťach. Členstvá v medzinárodných organizáciách sú prostriedkom na získavanie nových informácií a budovanie kontaktov pre ďalšie zapájanie sa do rôznych aktivít. Poskytujú tiež možnosti na propagáciu univerzity. Zamestnanci STU reprezentujú univerzitu na postoch predsedov, členov komisií alebo výborov, ale aj ako radoví členovia. </w:t>
      </w:r>
    </w:p>
    <w:p w:rsidR="00B51749" w:rsidRPr="00F0732E" w:rsidRDefault="00B51749" w:rsidP="00B51749">
      <w:pPr>
        <w:pStyle w:val="Zkladntext"/>
        <w:rPr>
          <w:rFonts w:ascii="Cambria" w:hAnsi="Cambria"/>
          <w:color w:val="000000"/>
          <w:sz w:val="28"/>
          <w:szCs w:val="28"/>
        </w:rPr>
      </w:pPr>
    </w:p>
    <w:p w:rsidR="00B51749" w:rsidRPr="00F0732E" w:rsidRDefault="00B51749" w:rsidP="00B51749">
      <w:pPr>
        <w:pStyle w:val="Zkladntext"/>
        <w:rPr>
          <w:rFonts w:ascii="Cambria" w:hAnsi="Cambria"/>
          <w:color w:val="auto"/>
          <w:sz w:val="28"/>
          <w:szCs w:val="28"/>
        </w:rPr>
      </w:pPr>
      <w:r w:rsidRPr="00F0732E">
        <w:rPr>
          <w:rFonts w:ascii="Cambria" w:hAnsi="Cambria"/>
          <w:color w:val="auto"/>
          <w:sz w:val="28"/>
          <w:szCs w:val="28"/>
        </w:rPr>
        <w:t xml:space="preserve">STU je inštitucionálny člen v nasledujúcich organizáciách: </w:t>
      </w:r>
    </w:p>
    <w:p w:rsidR="00B51749" w:rsidRPr="00F0732E" w:rsidRDefault="00B51749" w:rsidP="00B51749">
      <w:pPr>
        <w:pStyle w:val="Zkladntext"/>
        <w:numPr>
          <w:ilvl w:val="0"/>
          <w:numId w:val="17"/>
        </w:numPr>
        <w:spacing w:line="240" w:lineRule="auto"/>
        <w:rPr>
          <w:rFonts w:ascii="Cambria" w:hAnsi="Cambria"/>
          <w:color w:val="auto"/>
          <w:sz w:val="28"/>
          <w:szCs w:val="28"/>
        </w:rPr>
      </w:pPr>
      <w:r w:rsidRPr="00F0732E">
        <w:rPr>
          <w:rFonts w:ascii="Cambria" w:hAnsi="Cambria"/>
          <w:color w:val="auto"/>
          <w:sz w:val="28"/>
          <w:szCs w:val="28"/>
        </w:rPr>
        <w:t xml:space="preserve">European University Association (EUA) </w:t>
      </w:r>
    </w:p>
    <w:p w:rsidR="00B51749" w:rsidRPr="00F0732E" w:rsidRDefault="00B51749" w:rsidP="00B51749">
      <w:pPr>
        <w:pStyle w:val="Zkladntext"/>
        <w:ind w:left="170"/>
        <w:rPr>
          <w:rFonts w:ascii="Cambria" w:hAnsi="Cambria"/>
          <w:color w:val="auto"/>
          <w:sz w:val="28"/>
          <w:szCs w:val="28"/>
        </w:rPr>
      </w:pPr>
      <w:r w:rsidRPr="00F0732E">
        <w:rPr>
          <w:rFonts w:ascii="Cambria" w:hAnsi="Cambria"/>
          <w:color w:val="auto"/>
          <w:sz w:val="28"/>
          <w:szCs w:val="28"/>
        </w:rPr>
        <w:lastRenderedPageBreak/>
        <w:t>Patrí k najvýznamnejším organizáciám ovplyvňujúcim vysokoškolskú a vedeckú politiku Európskej únie. Asociácia poskytuje jedinečné odborné hodnotenie vysokoškolského vzdelávania a</w:t>
      </w:r>
      <w:r w:rsidR="00447572">
        <w:rPr>
          <w:rFonts w:ascii="Cambria" w:hAnsi="Cambria"/>
          <w:color w:val="auto"/>
          <w:sz w:val="28"/>
          <w:szCs w:val="28"/>
        </w:rPr>
        <w:t> </w:t>
      </w:r>
      <w:r w:rsidRPr="00F0732E">
        <w:rPr>
          <w:rFonts w:ascii="Cambria" w:hAnsi="Cambria"/>
          <w:color w:val="auto"/>
          <w:sz w:val="28"/>
          <w:szCs w:val="28"/>
        </w:rPr>
        <w:t>vedy</w:t>
      </w:r>
      <w:r w:rsidR="00447572">
        <w:rPr>
          <w:rFonts w:ascii="Cambria" w:hAnsi="Cambria"/>
          <w:color w:val="auto"/>
          <w:sz w:val="28"/>
          <w:szCs w:val="28"/>
        </w:rPr>
        <w:t>,</w:t>
      </w:r>
      <w:r w:rsidRPr="00F0732E">
        <w:rPr>
          <w:rFonts w:ascii="Cambria" w:hAnsi="Cambria"/>
          <w:color w:val="auto"/>
          <w:sz w:val="28"/>
          <w:szCs w:val="28"/>
        </w:rPr>
        <w:t xml:space="preserve"> ako i platformu na výmenu skúseností, predstáv a vízií smerovania v predmetnej oblasti. STU je jej dlhoročným členom.</w:t>
      </w:r>
    </w:p>
    <w:p w:rsidR="00B51749" w:rsidRPr="00F0732E" w:rsidRDefault="00B51749" w:rsidP="00B51749">
      <w:pPr>
        <w:pStyle w:val="Zkladntext"/>
        <w:numPr>
          <w:ilvl w:val="0"/>
          <w:numId w:val="17"/>
        </w:numPr>
        <w:spacing w:line="240" w:lineRule="auto"/>
        <w:rPr>
          <w:rFonts w:ascii="Cambria" w:hAnsi="Cambria"/>
          <w:color w:val="auto"/>
          <w:sz w:val="28"/>
          <w:szCs w:val="28"/>
        </w:rPr>
      </w:pPr>
      <w:r w:rsidRPr="00F0732E">
        <w:rPr>
          <w:rFonts w:ascii="Cambria" w:hAnsi="Cambria"/>
          <w:color w:val="auto"/>
          <w:sz w:val="28"/>
          <w:szCs w:val="28"/>
        </w:rPr>
        <w:t xml:space="preserve">European Society for Engineering Education (SEFI) </w:t>
      </w:r>
    </w:p>
    <w:p w:rsidR="00B51749" w:rsidRPr="00F0732E" w:rsidRDefault="00B51749" w:rsidP="00B51749">
      <w:pPr>
        <w:pStyle w:val="Zkladntext"/>
        <w:ind w:left="170"/>
        <w:rPr>
          <w:rFonts w:ascii="Cambria" w:hAnsi="Cambria"/>
          <w:color w:val="auto"/>
          <w:sz w:val="28"/>
          <w:szCs w:val="28"/>
        </w:rPr>
      </w:pPr>
      <w:r w:rsidRPr="00F0732E">
        <w:rPr>
          <w:rFonts w:ascii="Cambria" w:hAnsi="Cambria"/>
          <w:color w:val="auto"/>
          <w:sz w:val="28"/>
          <w:szCs w:val="28"/>
        </w:rPr>
        <w:t>STU ako technicky orientovaná univerzita je dlhodobým členom nezávislého medzinárodného fóra pre diskusie o problémoch a možnostiach ich riešenia v inžinierskom vzdelávaní. Okrem iného je cieľom SEFI prispieť k rozvoju a zlepšeniu vysokoškolského inžinierskeho štúdia a zlepšiť komunikáciu a mobilitu profesorov, a celkovo výskumných pracovníkov a študentov v Európe.</w:t>
      </w:r>
    </w:p>
    <w:p w:rsidR="00B51749" w:rsidRPr="00F0732E" w:rsidRDefault="00B51749" w:rsidP="00B51749">
      <w:pPr>
        <w:pStyle w:val="Zkladntext"/>
        <w:rPr>
          <w:rFonts w:ascii="Cambria" w:hAnsi="Cambria"/>
          <w:color w:val="000000"/>
          <w:sz w:val="28"/>
          <w:szCs w:val="28"/>
        </w:rPr>
      </w:pPr>
    </w:p>
    <w:p w:rsidR="00B51749" w:rsidRPr="00F0732E" w:rsidRDefault="00B51749" w:rsidP="00B51749">
      <w:pPr>
        <w:pStyle w:val="Zkladntext"/>
        <w:rPr>
          <w:rFonts w:ascii="Cambria" w:hAnsi="Cambria"/>
          <w:color w:val="000000"/>
          <w:sz w:val="28"/>
          <w:szCs w:val="28"/>
        </w:rPr>
      </w:pPr>
      <w:r w:rsidRPr="00F0732E">
        <w:rPr>
          <w:rFonts w:ascii="Cambria" w:hAnsi="Cambria"/>
          <w:color w:val="000000"/>
          <w:sz w:val="28"/>
          <w:szCs w:val="28"/>
        </w:rPr>
        <w:t xml:space="preserve">Fakulty STU sú inštitucionálnymi členmi medzinárodných organizácií, ktorých zameranie korešponduje s odborným zameraním fakúlt: </w:t>
      </w:r>
    </w:p>
    <w:p w:rsidR="00B51749" w:rsidRPr="00F0732E" w:rsidRDefault="00B51749" w:rsidP="00B51749">
      <w:pPr>
        <w:pStyle w:val="Zkladntext"/>
        <w:rPr>
          <w:rFonts w:ascii="Cambria" w:hAnsi="Cambria"/>
          <w:color w:val="000000"/>
          <w:sz w:val="28"/>
          <w:szCs w:val="28"/>
        </w:rPr>
      </w:pPr>
      <w:r w:rsidRPr="00F0732E">
        <w:rPr>
          <w:rFonts w:ascii="Cambria" w:hAnsi="Cambria"/>
          <w:color w:val="000000"/>
          <w:sz w:val="28"/>
          <w:szCs w:val="28"/>
        </w:rPr>
        <w:t xml:space="preserve">Stavebná fakulta: </w:t>
      </w:r>
    </w:p>
    <w:p w:rsidR="00B51749" w:rsidRPr="00F0732E" w:rsidRDefault="00B51749" w:rsidP="00C92614">
      <w:pPr>
        <w:pStyle w:val="Zkladntext"/>
        <w:numPr>
          <w:ilvl w:val="0"/>
          <w:numId w:val="40"/>
        </w:numPr>
        <w:spacing w:line="240" w:lineRule="auto"/>
        <w:rPr>
          <w:rFonts w:ascii="Cambria" w:hAnsi="Cambria"/>
          <w:color w:val="000000"/>
          <w:sz w:val="28"/>
          <w:szCs w:val="28"/>
        </w:rPr>
      </w:pPr>
      <w:r w:rsidRPr="00F0732E">
        <w:rPr>
          <w:rFonts w:ascii="Cambria" w:hAnsi="Cambria"/>
          <w:color w:val="000000"/>
          <w:sz w:val="28"/>
          <w:szCs w:val="28"/>
        </w:rPr>
        <w:t>Federation of European Heating, Ventilation and Air-conditioning Associations (REHVA)</w:t>
      </w:r>
    </w:p>
    <w:p w:rsidR="00B51749" w:rsidRPr="00F0732E" w:rsidRDefault="00B51749" w:rsidP="00B51749">
      <w:pPr>
        <w:pStyle w:val="Zkladntext"/>
        <w:tabs>
          <w:tab w:val="left" w:pos="720"/>
        </w:tabs>
        <w:rPr>
          <w:rFonts w:ascii="Cambria" w:hAnsi="Cambria"/>
          <w:color w:val="000000"/>
          <w:sz w:val="28"/>
          <w:szCs w:val="28"/>
        </w:rPr>
      </w:pPr>
      <w:r w:rsidRPr="00F0732E">
        <w:rPr>
          <w:rFonts w:ascii="Cambria" w:hAnsi="Cambria"/>
          <w:color w:val="000000"/>
          <w:sz w:val="28"/>
          <w:szCs w:val="28"/>
        </w:rPr>
        <w:t xml:space="preserve">Strojnícka fakulta: </w:t>
      </w:r>
    </w:p>
    <w:p w:rsidR="00B51749" w:rsidRPr="00F0732E" w:rsidRDefault="00B51749" w:rsidP="00B51749">
      <w:pPr>
        <w:pStyle w:val="Zkladntext"/>
        <w:numPr>
          <w:ilvl w:val="0"/>
          <w:numId w:val="14"/>
        </w:numPr>
        <w:tabs>
          <w:tab w:val="left" w:pos="720"/>
        </w:tabs>
        <w:spacing w:line="240" w:lineRule="auto"/>
        <w:ind w:left="0" w:firstLine="0"/>
        <w:rPr>
          <w:rFonts w:ascii="Cambria" w:hAnsi="Cambria"/>
          <w:color w:val="000000"/>
          <w:sz w:val="28"/>
          <w:szCs w:val="28"/>
        </w:rPr>
      </w:pPr>
      <w:r w:rsidRPr="00F0732E">
        <w:rPr>
          <w:rFonts w:ascii="Cambria" w:hAnsi="Cambria"/>
          <w:color w:val="000000"/>
          <w:sz w:val="28"/>
          <w:szCs w:val="28"/>
        </w:rPr>
        <w:t>Federation of European Materials Societies (FEMS)</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European Automobile Enginneers Cooperation (EAEC)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International Society for Geometry and Graphics (ISGG)</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International Federation of Automatic Control (IFAC)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International Institute of Noise Control Engineering (I-INCE)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International Institute of Refrigeration (IIR)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International Federation for the Promotion of Mechanism and Machine Science (IFToMM)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Fedération Internationale des Societés d'Ingénieurs de Techniques de l'Automobile (FISITA) </w:t>
      </w:r>
    </w:p>
    <w:p w:rsidR="00B51749" w:rsidRPr="00F0732E" w:rsidRDefault="00B51749" w:rsidP="00B51749">
      <w:pPr>
        <w:pStyle w:val="Zkladntext"/>
        <w:numPr>
          <w:ilvl w:val="0"/>
          <w:numId w:val="14"/>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Česká slévárenská společnost </w:t>
      </w:r>
    </w:p>
    <w:p w:rsidR="00B51749" w:rsidRPr="00F0732E" w:rsidRDefault="00B51749" w:rsidP="00B51749">
      <w:pPr>
        <w:pStyle w:val="Zkladntext"/>
        <w:tabs>
          <w:tab w:val="left" w:pos="720"/>
        </w:tabs>
        <w:rPr>
          <w:rFonts w:ascii="Cambria" w:hAnsi="Cambria"/>
          <w:color w:val="000000"/>
          <w:sz w:val="28"/>
          <w:szCs w:val="28"/>
        </w:rPr>
      </w:pPr>
      <w:r w:rsidRPr="00F0732E">
        <w:rPr>
          <w:rFonts w:ascii="Cambria" w:hAnsi="Cambria"/>
          <w:color w:val="000000"/>
          <w:sz w:val="28"/>
          <w:szCs w:val="28"/>
        </w:rPr>
        <w:t xml:space="preserve">Materiálovotechnologická fakulta: </w:t>
      </w:r>
    </w:p>
    <w:p w:rsidR="00B51749" w:rsidRPr="00F0732E" w:rsidRDefault="00B51749" w:rsidP="00B51749">
      <w:pPr>
        <w:pStyle w:val="Zkladntext"/>
        <w:numPr>
          <w:ilvl w:val="0"/>
          <w:numId w:val="16"/>
        </w:numPr>
        <w:tabs>
          <w:tab w:val="left" w:pos="720"/>
        </w:tabs>
        <w:spacing w:line="240" w:lineRule="auto"/>
        <w:ind w:left="0" w:firstLine="0"/>
        <w:rPr>
          <w:rFonts w:ascii="Cambria" w:hAnsi="Cambria"/>
          <w:color w:val="000000"/>
          <w:sz w:val="28"/>
          <w:szCs w:val="28"/>
        </w:rPr>
      </w:pPr>
      <w:r w:rsidRPr="00F0732E">
        <w:rPr>
          <w:rFonts w:ascii="Cambria" w:hAnsi="Cambria"/>
          <w:color w:val="000000"/>
          <w:sz w:val="28"/>
          <w:szCs w:val="28"/>
        </w:rPr>
        <w:t xml:space="preserve">European Alliance for Innovation (EAI) </w:t>
      </w:r>
    </w:p>
    <w:p w:rsidR="00B51749" w:rsidRPr="00F0732E" w:rsidRDefault="00B51749" w:rsidP="00B51749">
      <w:pPr>
        <w:pStyle w:val="Zkladntext"/>
        <w:numPr>
          <w:ilvl w:val="0"/>
          <w:numId w:val="16"/>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European Virtual Institute on Knowledge-based Multifunctional Materials AISBL (KMM-VIN) </w:t>
      </w:r>
    </w:p>
    <w:p w:rsidR="00B51749" w:rsidRPr="00F0732E" w:rsidRDefault="00B51749" w:rsidP="00B51749">
      <w:pPr>
        <w:pStyle w:val="Zkladntext"/>
        <w:numPr>
          <w:ilvl w:val="0"/>
          <w:numId w:val="16"/>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European Network Education and Training in Occupational Safety and Health (ENETOSH) </w:t>
      </w:r>
    </w:p>
    <w:p w:rsidR="00B51749" w:rsidRPr="00F0732E" w:rsidRDefault="00B51749" w:rsidP="00B51749">
      <w:pPr>
        <w:pStyle w:val="Zkladntext"/>
        <w:numPr>
          <w:ilvl w:val="0"/>
          <w:numId w:val="16"/>
        </w:numPr>
        <w:tabs>
          <w:tab w:val="left" w:pos="720"/>
        </w:tabs>
        <w:spacing w:line="240" w:lineRule="auto"/>
        <w:ind w:left="0" w:firstLine="0"/>
        <w:rPr>
          <w:rFonts w:ascii="Cambria" w:hAnsi="Cambria"/>
          <w:color w:val="000000"/>
          <w:sz w:val="28"/>
          <w:szCs w:val="28"/>
        </w:rPr>
      </w:pPr>
      <w:r w:rsidRPr="00F0732E">
        <w:rPr>
          <w:rFonts w:ascii="Cambria" w:hAnsi="Cambria"/>
          <w:color w:val="000000"/>
          <w:sz w:val="28"/>
          <w:szCs w:val="28"/>
        </w:rPr>
        <w:t xml:space="preserve">European Platform of Women Scientists (EPWS) </w:t>
      </w:r>
    </w:p>
    <w:p w:rsidR="00B51749" w:rsidRPr="00F0732E" w:rsidRDefault="00B51749" w:rsidP="00B51749">
      <w:pPr>
        <w:pStyle w:val="Zkladntext"/>
        <w:numPr>
          <w:ilvl w:val="0"/>
          <w:numId w:val="16"/>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Asociace pro tepelné zpracování kovů (ATZK) </w:t>
      </w:r>
    </w:p>
    <w:p w:rsidR="00B51749" w:rsidRPr="00F0732E" w:rsidRDefault="00B51749" w:rsidP="00B51749">
      <w:pPr>
        <w:pStyle w:val="Zkladntext"/>
        <w:numPr>
          <w:ilvl w:val="0"/>
          <w:numId w:val="16"/>
        </w:numPr>
        <w:tabs>
          <w:tab w:val="left" w:pos="720"/>
        </w:tabs>
        <w:spacing w:line="240" w:lineRule="auto"/>
        <w:rPr>
          <w:rFonts w:ascii="Cambria" w:hAnsi="Cambria"/>
          <w:color w:val="000000"/>
          <w:sz w:val="28"/>
          <w:szCs w:val="28"/>
        </w:rPr>
      </w:pPr>
      <w:r w:rsidRPr="00F0732E">
        <w:rPr>
          <w:rFonts w:ascii="Cambria" w:hAnsi="Cambria"/>
          <w:color w:val="000000"/>
          <w:sz w:val="28"/>
          <w:szCs w:val="28"/>
        </w:rPr>
        <w:t>EEDC AISBL C/O SEFI AISBL European Engineering Deans Council</w:t>
      </w:r>
    </w:p>
    <w:p w:rsidR="00B51749" w:rsidRPr="00F0732E" w:rsidRDefault="00B51749" w:rsidP="00B51749">
      <w:pPr>
        <w:pStyle w:val="Zkladntext"/>
        <w:tabs>
          <w:tab w:val="left" w:pos="720"/>
        </w:tabs>
        <w:rPr>
          <w:rFonts w:ascii="Cambria" w:hAnsi="Cambria"/>
          <w:color w:val="000000"/>
          <w:sz w:val="28"/>
          <w:szCs w:val="28"/>
        </w:rPr>
      </w:pPr>
      <w:r w:rsidRPr="00F0732E">
        <w:rPr>
          <w:rFonts w:ascii="Cambria" w:hAnsi="Cambria"/>
          <w:color w:val="000000"/>
          <w:sz w:val="28"/>
          <w:szCs w:val="28"/>
        </w:rPr>
        <w:t xml:space="preserve">Ústav manažmentu: </w:t>
      </w:r>
    </w:p>
    <w:p w:rsidR="00B51749" w:rsidRPr="00F0732E" w:rsidRDefault="00B51749" w:rsidP="00B51749">
      <w:pPr>
        <w:pStyle w:val="Zkladntext"/>
        <w:numPr>
          <w:ilvl w:val="0"/>
          <w:numId w:val="15"/>
        </w:numPr>
        <w:tabs>
          <w:tab w:val="left" w:pos="720"/>
        </w:tabs>
        <w:spacing w:line="240" w:lineRule="auto"/>
        <w:rPr>
          <w:rFonts w:ascii="Cambria" w:hAnsi="Cambria"/>
          <w:color w:val="000000"/>
          <w:sz w:val="28"/>
          <w:szCs w:val="28"/>
        </w:rPr>
      </w:pPr>
      <w:r w:rsidRPr="00F0732E">
        <w:rPr>
          <w:rFonts w:ascii="Cambria" w:hAnsi="Cambria"/>
          <w:color w:val="000000"/>
          <w:sz w:val="28"/>
          <w:szCs w:val="28"/>
        </w:rPr>
        <w:lastRenderedPageBreak/>
        <w:t xml:space="preserve">Network of Spatial Research and Planning in Central, Eastern and South Eastern Europe (SPA-CE.NET), </w:t>
      </w:r>
    </w:p>
    <w:p w:rsidR="00B51749" w:rsidRPr="00F0732E" w:rsidRDefault="00B51749" w:rsidP="00B51749">
      <w:pPr>
        <w:pStyle w:val="Zkladntext"/>
        <w:numPr>
          <w:ilvl w:val="0"/>
          <w:numId w:val="15"/>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European Council of Landscape Architecture Schools (ECLAS), </w:t>
      </w:r>
    </w:p>
    <w:p w:rsidR="00B51749" w:rsidRPr="00F0732E" w:rsidRDefault="00B51749" w:rsidP="00B51749">
      <w:pPr>
        <w:pStyle w:val="Zkladntext"/>
        <w:numPr>
          <w:ilvl w:val="0"/>
          <w:numId w:val="15"/>
        </w:numPr>
        <w:tabs>
          <w:tab w:val="left" w:pos="720"/>
        </w:tabs>
        <w:spacing w:line="240" w:lineRule="auto"/>
        <w:rPr>
          <w:rFonts w:ascii="Cambria" w:hAnsi="Cambria"/>
          <w:color w:val="000000"/>
          <w:sz w:val="28"/>
          <w:szCs w:val="28"/>
        </w:rPr>
      </w:pPr>
      <w:r w:rsidRPr="00F0732E">
        <w:rPr>
          <w:rFonts w:ascii="Cambria" w:hAnsi="Cambria"/>
          <w:color w:val="000000"/>
          <w:sz w:val="28"/>
          <w:szCs w:val="28"/>
        </w:rPr>
        <w:t>Akademie für Raumforschung und Landesplanung (ARL)</w:t>
      </w:r>
    </w:p>
    <w:p w:rsidR="00B51749" w:rsidRPr="00F0732E" w:rsidRDefault="00B51749" w:rsidP="00B51749">
      <w:pPr>
        <w:pStyle w:val="Zkladntext"/>
        <w:numPr>
          <w:ilvl w:val="0"/>
          <w:numId w:val="15"/>
        </w:numPr>
        <w:tabs>
          <w:tab w:val="left" w:pos="720"/>
        </w:tabs>
        <w:spacing w:line="240" w:lineRule="auto"/>
        <w:rPr>
          <w:rFonts w:ascii="Cambria" w:hAnsi="Cambria"/>
          <w:color w:val="000000"/>
          <w:sz w:val="28"/>
          <w:szCs w:val="28"/>
        </w:rPr>
      </w:pPr>
      <w:r w:rsidRPr="00F0732E">
        <w:rPr>
          <w:rFonts w:ascii="Cambria" w:hAnsi="Cambria"/>
          <w:color w:val="000000"/>
          <w:sz w:val="28"/>
          <w:szCs w:val="28"/>
        </w:rPr>
        <w:t xml:space="preserve"> Association of European Schools of Planning (AESOP)</w:t>
      </w:r>
    </w:p>
    <w:p w:rsidR="00B51749" w:rsidRPr="00F0732E" w:rsidRDefault="00B51749" w:rsidP="00B51749">
      <w:pPr>
        <w:pStyle w:val="Zkladntext2"/>
        <w:rPr>
          <w:rFonts w:ascii="Cambria" w:hAnsi="Cambria"/>
          <w:color w:val="000000"/>
          <w:sz w:val="28"/>
          <w:szCs w:val="28"/>
        </w:rPr>
      </w:pPr>
    </w:p>
    <w:p w:rsidR="00B51749" w:rsidRPr="00F0732E" w:rsidRDefault="00B51749" w:rsidP="00B51749">
      <w:pPr>
        <w:pStyle w:val="Zkladntext2"/>
        <w:rPr>
          <w:rFonts w:ascii="Cambria" w:hAnsi="Cambria"/>
          <w:color w:val="000000"/>
          <w:sz w:val="28"/>
          <w:szCs w:val="28"/>
        </w:rPr>
      </w:pPr>
    </w:p>
    <w:p w:rsidR="00B51749" w:rsidRPr="00F0732E" w:rsidRDefault="00B51749" w:rsidP="00B51749">
      <w:pPr>
        <w:pStyle w:val="Zkladntext2"/>
        <w:rPr>
          <w:rFonts w:ascii="Cambria" w:hAnsi="Cambria"/>
          <w:color w:val="FF0000"/>
          <w:sz w:val="28"/>
          <w:szCs w:val="28"/>
        </w:rPr>
      </w:pPr>
    </w:p>
    <w:p w:rsidR="00B51749" w:rsidRPr="00F0732E" w:rsidRDefault="00B51749" w:rsidP="00B51749">
      <w:pPr>
        <w:pStyle w:val="Nadpis2"/>
        <w:rPr>
          <w:rFonts w:ascii="Cambria" w:hAnsi="Cambria"/>
          <w:color w:val="auto"/>
        </w:rPr>
      </w:pPr>
      <w:bookmarkStart w:id="71" w:name="_Toc413009367"/>
      <w:bookmarkEnd w:id="70"/>
      <w:r w:rsidRPr="00F0732E">
        <w:rPr>
          <w:rFonts w:ascii="Cambria" w:hAnsi="Cambria"/>
          <w:color w:val="auto"/>
        </w:rPr>
        <w:t>Vycestovania zamestnancov do zahraničia a prijatia zahraničných hostí</w:t>
      </w:r>
      <w:bookmarkEnd w:id="71"/>
      <w:r w:rsidRPr="00F0732E">
        <w:rPr>
          <w:rFonts w:ascii="Cambria" w:hAnsi="Cambria"/>
          <w:color w:val="auto"/>
        </w:rPr>
        <w:t xml:space="preserve"> </w:t>
      </w:r>
    </w:p>
    <w:p w:rsidR="00B51749" w:rsidRPr="00F0732E" w:rsidRDefault="00B51749" w:rsidP="00B51749">
      <w:pPr>
        <w:pStyle w:val="Zkladntext2"/>
        <w:rPr>
          <w:rFonts w:ascii="Cambria" w:hAnsi="Cambria"/>
          <w:color w:val="FF0000"/>
          <w:sz w:val="28"/>
          <w:szCs w:val="28"/>
        </w:rPr>
      </w:pPr>
    </w:p>
    <w:p w:rsidR="00B51749" w:rsidRPr="00F0732E" w:rsidRDefault="00B51749" w:rsidP="00B51749">
      <w:pPr>
        <w:pStyle w:val="Zkladntext2"/>
        <w:ind w:firstLine="708"/>
        <w:rPr>
          <w:rFonts w:ascii="Cambria" w:hAnsi="Cambria"/>
          <w:color w:val="000000"/>
          <w:sz w:val="28"/>
          <w:szCs w:val="28"/>
        </w:rPr>
      </w:pPr>
      <w:r w:rsidRPr="00F0732E">
        <w:rPr>
          <w:rFonts w:ascii="Cambria" w:hAnsi="Cambria"/>
          <w:color w:val="000000"/>
          <w:sz w:val="28"/>
          <w:szCs w:val="28"/>
        </w:rPr>
        <w:t xml:space="preserve">Neoddeliteľnou súčasťou medzinárodnej spolupráce sú zahraničné pracovné cesty zamestnancov a prijímanie zahraničných zamestnancov a hostí. </w:t>
      </w:r>
    </w:p>
    <w:p w:rsidR="00B51749" w:rsidRPr="00F0732E" w:rsidRDefault="00B51749" w:rsidP="00B51749">
      <w:pPr>
        <w:pStyle w:val="Zkladntext2"/>
        <w:rPr>
          <w:rFonts w:ascii="Cambria" w:hAnsi="Cambria"/>
          <w:color w:val="000000"/>
          <w:sz w:val="28"/>
          <w:szCs w:val="28"/>
        </w:rPr>
      </w:pPr>
      <w:r w:rsidRPr="00F0732E">
        <w:rPr>
          <w:rFonts w:ascii="Cambria" w:hAnsi="Cambria"/>
          <w:color w:val="000000"/>
          <w:sz w:val="28"/>
          <w:szCs w:val="28"/>
        </w:rPr>
        <w:t>V roku 2014 zrealizovali zamestnanci STU 3 916 zahraničných pracovných ciest</w:t>
      </w:r>
      <w:r w:rsidRPr="00F0732E">
        <w:rPr>
          <w:rFonts w:ascii="Cambria" w:hAnsi="Cambria"/>
          <w:b/>
          <w:color w:val="000000"/>
          <w:sz w:val="28"/>
          <w:szCs w:val="28"/>
        </w:rPr>
        <w:t>.</w:t>
      </w:r>
      <w:r w:rsidRPr="00F0732E">
        <w:rPr>
          <w:rFonts w:ascii="Cambria" w:hAnsi="Cambria"/>
          <w:color w:val="000000"/>
          <w:sz w:val="28"/>
          <w:szCs w:val="28"/>
        </w:rPr>
        <w:t xml:space="preserve"> Z celkového počtu vycestovaní sa najviac ciest uskutočnilo do Českej republiky, Rakúska a Nemecka. </w:t>
      </w:r>
    </w:p>
    <w:p w:rsidR="00B51749" w:rsidRPr="00F0732E" w:rsidRDefault="00B51749" w:rsidP="00B51749">
      <w:pPr>
        <w:rPr>
          <w:color w:val="000000"/>
          <w:sz w:val="28"/>
          <w:szCs w:val="28"/>
        </w:rPr>
      </w:pPr>
    </w:p>
    <w:p w:rsidR="00B51749" w:rsidRPr="00F0732E" w:rsidRDefault="00B51749" w:rsidP="00B51749">
      <w:pPr>
        <w:pStyle w:val="Popis"/>
        <w:rPr>
          <w:rFonts w:ascii="Cambria" w:hAnsi="Cambria"/>
          <w:color w:val="000000"/>
          <w:sz w:val="28"/>
          <w:szCs w:val="28"/>
        </w:rPr>
      </w:pPr>
      <w:r w:rsidRPr="00F0732E">
        <w:rPr>
          <w:rFonts w:ascii="Cambria" w:hAnsi="Cambria"/>
          <w:color w:val="000000"/>
          <w:sz w:val="28"/>
          <w:szCs w:val="28"/>
        </w:rPr>
        <w:t>Tabuľka 11.4: Vycestovania a prijatia v roku 2014</w:t>
      </w:r>
    </w:p>
    <w:p w:rsidR="00B51749" w:rsidRPr="00F0732E" w:rsidRDefault="00B51749" w:rsidP="00B51749">
      <w:pPr>
        <w:rPr>
          <w:color w:val="000000"/>
          <w:sz w:val="28"/>
          <w:szCs w:val="28"/>
        </w:rPr>
      </w:pPr>
    </w:p>
    <w:tbl>
      <w:tblPr>
        <w:tblW w:w="6961" w:type="dxa"/>
        <w:tblInd w:w="55" w:type="dxa"/>
        <w:tblLayout w:type="fixed"/>
        <w:tblCellMar>
          <w:left w:w="70" w:type="dxa"/>
          <w:right w:w="70" w:type="dxa"/>
        </w:tblCellMar>
        <w:tblLook w:val="04A0" w:firstRow="1" w:lastRow="0" w:firstColumn="1" w:lastColumn="0" w:noHBand="0" w:noVBand="1"/>
      </w:tblPr>
      <w:tblGrid>
        <w:gridCol w:w="1149"/>
        <w:gridCol w:w="2694"/>
        <w:gridCol w:w="3118"/>
      </w:tblGrid>
      <w:tr w:rsidR="00B51749" w:rsidRPr="00F0732E" w:rsidTr="00447572">
        <w:trPr>
          <w:trHeight w:val="630"/>
        </w:trPr>
        <w:tc>
          <w:tcPr>
            <w:tcW w:w="1149" w:type="dxa"/>
            <w:tcBorders>
              <w:top w:val="single" w:sz="4" w:space="0" w:color="auto"/>
              <w:left w:val="single" w:sz="4" w:space="0" w:color="auto"/>
              <w:bottom w:val="single" w:sz="4" w:space="0" w:color="auto"/>
              <w:right w:val="single" w:sz="4" w:space="0" w:color="auto"/>
            </w:tcBorders>
            <w:hideMark/>
          </w:tcPr>
          <w:p w:rsidR="00B51749" w:rsidRPr="00F0732E" w:rsidRDefault="00B51749" w:rsidP="00447572">
            <w:pPr>
              <w:jc w:val="center"/>
              <w:rPr>
                <w:color w:val="000000"/>
                <w:sz w:val="28"/>
                <w:szCs w:val="28"/>
                <w:lang w:eastAsia="sk-SK"/>
              </w:rPr>
            </w:pPr>
          </w:p>
          <w:p w:rsidR="00B51749" w:rsidRPr="00F0732E" w:rsidRDefault="00B51749" w:rsidP="00447572">
            <w:pPr>
              <w:jc w:val="center"/>
              <w:rPr>
                <w:color w:val="000000"/>
                <w:sz w:val="28"/>
                <w:szCs w:val="28"/>
                <w:lang w:eastAsia="sk-SK"/>
              </w:rPr>
            </w:pPr>
            <w:r w:rsidRPr="00F0732E">
              <w:rPr>
                <w:color w:val="000000"/>
                <w:sz w:val="28"/>
                <w:szCs w:val="28"/>
                <w:lang w:eastAsia="sk-SK"/>
              </w:rPr>
              <w:t>STU</w:t>
            </w:r>
          </w:p>
        </w:tc>
        <w:tc>
          <w:tcPr>
            <w:tcW w:w="2694" w:type="dxa"/>
            <w:tcBorders>
              <w:top w:val="single" w:sz="4" w:space="0" w:color="auto"/>
              <w:left w:val="nil"/>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Počet</w:t>
            </w:r>
          </w:p>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vycestovaní</w:t>
            </w:r>
          </w:p>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zamestnancov</w:t>
            </w:r>
          </w:p>
        </w:tc>
        <w:tc>
          <w:tcPr>
            <w:tcW w:w="3118" w:type="dxa"/>
            <w:tcBorders>
              <w:top w:val="single" w:sz="4" w:space="0" w:color="auto"/>
              <w:left w:val="nil"/>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Počet</w:t>
            </w:r>
          </w:p>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 xml:space="preserve">prijatých </w:t>
            </w:r>
          </w:p>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zahraničných hostí</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R-STU</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158</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15</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SvF</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968</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2</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SjF</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244</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0</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FEI</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618</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46</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FCHPT</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632</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61</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FA</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247</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0</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MTF</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803</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0</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FIIT</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145</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0</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ÚM</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101</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color w:val="000000"/>
                <w:sz w:val="28"/>
                <w:szCs w:val="28"/>
                <w:lang w:eastAsia="sk-SK"/>
              </w:rPr>
            </w:pPr>
            <w:r w:rsidRPr="00F0732E">
              <w:rPr>
                <w:color w:val="000000"/>
                <w:sz w:val="28"/>
                <w:szCs w:val="28"/>
                <w:lang w:eastAsia="sk-SK"/>
              </w:rPr>
              <w:t>6</w:t>
            </w:r>
          </w:p>
        </w:tc>
      </w:tr>
      <w:tr w:rsidR="00B51749" w:rsidRPr="00F0732E" w:rsidTr="00447572">
        <w:trPr>
          <w:trHeight w:val="315"/>
        </w:trPr>
        <w:tc>
          <w:tcPr>
            <w:tcW w:w="1149" w:type="dxa"/>
            <w:tcBorders>
              <w:top w:val="nil"/>
              <w:left w:val="single" w:sz="4" w:space="0" w:color="auto"/>
              <w:bottom w:val="single" w:sz="4" w:space="0" w:color="auto"/>
              <w:right w:val="single" w:sz="4" w:space="0" w:color="auto"/>
            </w:tcBorders>
            <w:hideMark/>
          </w:tcPr>
          <w:p w:rsidR="00B51749" w:rsidRPr="00F0732E" w:rsidRDefault="00B51749" w:rsidP="00447572">
            <w:pPr>
              <w:jc w:val="center"/>
              <w:rPr>
                <w:b/>
                <w:bCs/>
                <w:color w:val="000000"/>
                <w:sz w:val="28"/>
                <w:szCs w:val="28"/>
                <w:lang w:eastAsia="sk-SK"/>
              </w:rPr>
            </w:pPr>
            <w:r w:rsidRPr="00F0732E">
              <w:rPr>
                <w:b/>
                <w:bCs/>
                <w:color w:val="000000"/>
                <w:sz w:val="28"/>
                <w:szCs w:val="28"/>
                <w:lang w:eastAsia="sk-SK"/>
              </w:rPr>
              <w:t>Spolu</w:t>
            </w:r>
          </w:p>
        </w:tc>
        <w:tc>
          <w:tcPr>
            <w:tcW w:w="2694"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b/>
                <w:color w:val="000000"/>
                <w:sz w:val="28"/>
                <w:szCs w:val="28"/>
                <w:lang w:eastAsia="sk-SK"/>
              </w:rPr>
            </w:pPr>
            <w:r w:rsidRPr="00F0732E">
              <w:rPr>
                <w:b/>
                <w:color w:val="000000"/>
                <w:sz w:val="28"/>
                <w:szCs w:val="28"/>
                <w:lang w:eastAsia="sk-SK"/>
              </w:rPr>
              <w:t>3 916</w:t>
            </w:r>
          </w:p>
        </w:tc>
        <w:tc>
          <w:tcPr>
            <w:tcW w:w="3118" w:type="dxa"/>
            <w:tcBorders>
              <w:top w:val="nil"/>
              <w:left w:val="nil"/>
              <w:bottom w:val="single" w:sz="4" w:space="0" w:color="auto"/>
              <w:right w:val="single" w:sz="4" w:space="0" w:color="auto"/>
            </w:tcBorders>
            <w:noWrap/>
            <w:vAlign w:val="bottom"/>
            <w:hideMark/>
          </w:tcPr>
          <w:p w:rsidR="00B51749" w:rsidRPr="00F0732E" w:rsidRDefault="00B51749" w:rsidP="00447572">
            <w:pPr>
              <w:ind w:right="497"/>
              <w:jc w:val="center"/>
              <w:rPr>
                <w:b/>
                <w:color w:val="000000"/>
                <w:sz w:val="28"/>
                <w:szCs w:val="28"/>
                <w:lang w:eastAsia="sk-SK"/>
              </w:rPr>
            </w:pPr>
            <w:r w:rsidRPr="00F0732E">
              <w:rPr>
                <w:b/>
                <w:color w:val="000000"/>
                <w:sz w:val="28"/>
                <w:szCs w:val="28"/>
                <w:lang w:eastAsia="sk-SK"/>
              </w:rPr>
              <w:t>130</w:t>
            </w:r>
          </w:p>
        </w:tc>
      </w:tr>
    </w:tbl>
    <w:p w:rsidR="00B51749" w:rsidRPr="00F0732E" w:rsidRDefault="00B51749" w:rsidP="00B51749">
      <w:pPr>
        <w:rPr>
          <w:b/>
          <w:bCs/>
          <w:color w:val="000000"/>
          <w:sz w:val="28"/>
          <w:szCs w:val="28"/>
        </w:rPr>
      </w:pPr>
    </w:p>
    <w:p w:rsidR="00B51749" w:rsidRPr="00F0732E" w:rsidRDefault="00B51749" w:rsidP="00B51749">
      <w:pPr>
        <w:rPr>
          <w:bCs/>
          <w:color w:val="000000"/>
          <w:sz w:val="28"/>
          <w:szCs w:val="28"/>
        </w:rPr>
      </w:pPr>
      <w:r w:rsidRPr="00F0732E">
        <w:rPr>
          <w:bCs/>
          <w:color w:val="000000"/>
          <w:sz w:val="28"/>
          <w:szCs w:val="28"/>
        </w:rPr>
        <w:t xml:space="preserve">Ako nová aktivita v tejto oblasti bol v roku 2014 spustený cyklus prednášok zahraničných i domácich vedcov pod záštitou rektora STU s názvom „Visiting Professors´ College STU“. Cieľom cyklu prednášok renomovaných zahraničných i domácich osobností na STU je zvýšiť povedomie o STU a jej výskume a výsledkoch v zahraničí a </w:t>
      </w:r>
      <w:r w:rsidRPr="00F0732E">
        <w:rPr>
          <w:bCs/>
          <w:color w:val="000000"/>
          <w:sz w:val="28"/>
          <w:szCs w:val="28"/>
        </w:rPr>
        <w:lastRenderedPageBreak/>
        <w:t>zabezpečiť užšie kontakty s uznávanými vedeckými osobnosťami. Pozývaní sú renomovaní odborníci na prezentáciu prednášok typu state-of-the-art alebo prednášok týkajúcich sa aktuálnych vedecko-technických problémov a technologických inovácií.</w:t>
      </w:r>
    </w:p>
    <w:p w:rsidR="00B51749" w:rsidRPr="00F0732E" w:rsidRDefault="00B51749" w:rsidP="00B51749">
      <w:pPr>
        <w:rPr>
          <w:bCs/>
          <w:color w:val="000000"/>
          <w:sz w:val="28"/>
          <w:szCs w:val="28"/>
        </w:rPr>
      </w:pPr>
      <w:r w:rsidRPr="00F0732E">
        <w:rPr>
          <w:bCs/>
          <w:color w:val="000000"/>
          <w:sz w:val="28"/>
          <w:szCs w:val="28"/>
        </w:rPr>
        <w:t>Prvá prednáška prof. Rainera Hasenauer</w:t>
      </w:r>
      <w:r w:rsidR="00C92614">
        <w:rPr>
          <w:bCs/>
          <w:color w:val="000000"/>
          <w:sz w:val="28"/>
          <w:szCs w:val="28"/>
        </w:rPr>
        <w:t>a</w:t>
      </w:r>
      <w:r w:rsidRPr="00F0732E">
        <w:rPr>
          <w:bCs/>
          <w:color w:val="000000"/>
          <w:sz w:val="28"/>
          <w:szCs w:val="28"/>
        </w:rPr>
        <w:t>, profesor</w:t>
      </w:r>
      <w:r w:rsidR="00C92614">
        <w:rPr>
          <w:bCs/>
          <w:color w:val="000000"/>
          <w:sz w:val="28"/>
          <w:szCs w:val="28"/>
        </w:rPr>
        <w:t>a</w:t>
      </w:r>
      <w:r w:rsidRPr="00F0732E">
        <w:rPr>
          <w:bCs/>
          <w:color w:val="000000"/>
          <w:sz w:val="28"/>
          <w:szCs w:val="28"/>
        </w:rPr>
        <w:t xml:space="preserve"> Viedenskej ekonomickej univerzity (WU Vienna) </w:t>
      </w:r>
      <w:r w:rsidR="00447572">
        <w:rPr>
          <w:bCs/>
          <w:color w:val="000000"/>
          <w:sz w:val="28"/>
          <w:szCs w:val="28"/>
        </w:rPr>
        <w:t>–</w:t>
      </w:r>
      <w:r w:rsidRPr="00F0732E">
        <w:rPr>
          <w:bCs/>
          <w:color w:val="000000"/>
          <w:sz w:val="28"/>
          <w:szCs w:val="28"/>
        </w:rPr>
        <w:t xml:space="preserve"> odborníka na marketing, a to najmä v oblasti technologických inovácií, sa uskutočnila v máji 2014.</w:t>
      </w:r>
    </w:p>
    <w:p w:rsidR="00B51749" w:rsidRPr="00F0732E" w:rsidRDefault="00B51749" w:rsidP="00B51749">
      <w:pPr>
        <w:rPr>
          <w:bCs/>
          <w:color w:val="000000"/>
          <w:sz w:val="28"/>
          <w:szCs w:val="28"/>
        </w:rPr>
      </w:pPr>
      <w:r w:rsidRPr="00F0732E">
        <w:rPr>
          <w:bCs/>
          <w:color w:val="000000"/>
          <w:sz w:val="28"/>
          <w:szCs w:val="28"/>
        </w:rPr>
        <w:t>Druhá prednáška sa realizovala v decembri 2014, pričom prednášateľom bol prof.</w:t>
      </w:r>
      <w:r w:rsidRPr="00F0732E">
        <w:rPr>
          <w:sz w:val="28"/>
          <w:szCs w:val="28"/>
        </w:rPr>
        <w:t xml:space="preserve"> </w:t>
      </w:r>
      <w:r w:rsidRPr="00F0732E">
        <w:rPr>
          <w:bCs/>
          <w:color w:val="000000"/>
          <w:sz w:val="28"/>
          <w:szCs w:val="28"/>
        </w:rPr>
        <w:t>Ing. Drahomír Novák, DrSc., VUT Brno.</w:t>
      </w:r>
    </w:p>
    <w:p w:rsidR="00B51749" w:rsidRPr="00F0732E" w:rsidRDefault="00B51749" w:rsidP="00B51749">
      <w:pPr>
        <w:rPr>
          <w:bCs/>
          <w:color w:val="000000"/>
          <w:sz w:val="28"/>
          <w:szCs w:val="28"/>
        </w:rPr>
      </w:pPr>
      <w:r w:rsidRPr="00F0732E">
        <w:rPr>
          <w:bCs/>
          <w:color w:val="000000"/>
          <w:sz w:val="28"/>
          <w:szCs w:val="28"/>
        </w:rPr>
        <w:t xml:space="preserve">Pozitívom je nesporne i možnosť sledovania </w:t>
      </w:r>
      <w:r w:rsidR="00C92614">
        <w:rPr>
          <w:bCs/>
          <w:color w:val="000000"/>
          <w:sz w:val="28"/>
          <w:szCs w:val="28"/>
        </w:rPr>
        <w:t>podujatia</w:t>
      </w:r>
      <w:r w:rsidRPr="00F0732E">
        <w:rPr>
          <w:bCs/>
          <w:color w:val="000000"/>
          <w:sz w:val="28"/>
          <w:szCs w:val="28"/>
        </w:rPr>
        <w:t xml:space="preserve"> online na mc2.sk.</w:t>
      </w:r>
    </w:p>
    <w:p w:rsidR="00B51749" w:rsidRPr="00F0732E" w:rsidRDefault="00B51749" w:rsidP="00B51749">
      <w:pPr>
        <w:rPr>
          <w:b/>
          <w:bCs/>
          <w:color w:val="FF0000"/>
          <w:sz w:val="28"/>
          <w:szCs w:val="28"/>
        </w:rPr>
      </w:pPr>
    </w:p>
    <w:p w:rsidR="00B51749" w:rsidRPr="00F0732E" w:rsidRDefault="00B51749" w:rsidP="00B51749">
      <w:pPr>
        <w:rPr>
          <w:b/>
          <w:bCs/>
          <w:color w:val="FF0000"/>
          <w:sz w:val="28"/>
          <w:szCs w:val="28"/>
        </w:rPr>
      </w:pPr>
    </w:p>
    <w:p w:rsidR="00B51749" w:rsidRPr="00F0732E" w:rsidRDefault="00B51749" w:rsidP="00B51749">
      <w:pPr>
        <w:pStyle w:val="Nadpis1"/>
        <w:rPr>
          <w:rFonts w:ascii="Cambria" w:hAnsi="Cambria"/>
          <w:color w:val="auto"/>
          <w:sz w:val="28"/>
          <w:szCs w:val="28"/>
        </w:rPr>
      </w:pPr>
      <w:bookmarkStart w:id="72" w:name="_Toc413009368"/>
      <w:r w:rsidRPr="00F0732E">
        <w:rPr>
          <w:rFonts w:ascii="Cambria" w:hAnsi="Cambria"/>
          <w:color w:val="auto"/>
          <w:sz w:val="28"/>
          <w:szCs w:val="28"/>
        </w:rPr>
        <w:t>Systém kvality na STU</w:t>
      </w:r>
      <w:bookmarkEnd w:id="72"/>
    </w:p>
    <w:p w:rsidR="00B51749" w:rsidRPr="00F0732E" w:rsidRDefault="00B51749" w:rsidP="00B51749">
      <w:pPr>
        <w:pStyle w:val="Nadpis2"/>
        <w:rPr>
          <w:rFonts w:ascii="Cambria" w:hAnsi="Cambria"/>
          <w:color w:val="auto"/>
        </w:rPr>
      </w:pPr>
      <w:bookmarkStart w:id="73" w:name="_Toc413009369"/>
      <w:r w:rsidRPr="00F0732E">
        <w:rPr>
          <w:rFonts w:ascii="Cambria" w:hAnsi="Cambria"/>
          <w:color w:val="auto"/>
        </w:rPr>
        <w:t>Manažment vysokej školy</w:t>
      </w:r>
      <w:bookmarkEnd w:id="73"/>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rPr>
      </w:pPr>
      <w:r w:rsidRPr="00F0732E">
        <w:rPr>
          <w:rFonts w:cs="Calibri"/>
          <w:sz w:val="28"/>
          <w:szCs w:val="28"/>
        </w:rPr>
        <w:t xml:space="preserve">Pre podporu kontrolnej a riadiacej činnosti je na STU vypracovaný Vnútorný systém kvality (VSK), ktorý bol schválený ako vnútorný predpis STU v akademickom senáte 28. 4. 2014. VSK vytvára formálny rámec pre realizáciu kontrolných a riadiacich činností vo vzdelávaní. </w:t>
      </w:r>
    </w:p>
    <w:p w:rsidR="00B51749" w:rsidRPr="00F0732E" w:rsidRDefault="00B51749" w:rsidP="00B51749">
      <w:pPr>
        <w:rPr>
          <w:rFonts w:cs="Calibri"/>
          <w:sz w:val="28"/>
          <w:szCs w:val="28"/>
        </w:rPr>
      </w:pPr>
      <w:r w:rsidRPr="00F0732E">
        <w:rPr>
          <w:sz w:val="28"/>
          <w:szCs w:val="28"/>
        </w:rPr>
        <w:t>VSK sa realizuje na týchto</w:t>
      </w:r>
      <w:r w:rsidRPr="00F0732E">
        <w:rPr>
          <w:spacing w:val="-7"/>
          <w:sz w:val="28"/>
          <w:szCs w:val="28"/>
        </w:rPr>
        <w:t xml:space="preserve"> </w:t>
      </w:r>
      <w:r w:rsidRPr="00F0732E">
        <w:rPr>
          <w:sz w:val="28"/>
          <w:szCs w:val="28"/>
        </w:rPr>
        <w:t>úrovniach:</w:t>
      </w:r>
    </w:p>
    <w:p w:rsidR="00B51749" w:rsidRPr="00F0732E" w:rsidRDefault="00B51749" w:rsidP="00B51749">
      <w:pPr>
        <w:pStyle w:val="Odsekzoznamu"/>
        <w:widowControl w:val="0"/>
        <w:numPr>
          <w:ilvl w:val="1"/>
          <w:numId w:val="25"/>
        </w:numPr>
        <w:spacing w:after="0" w:line="240" w:lineRule="auto"/>
        <w:ind w:left="851" w:right="118"/>
        <w:rPr>
          <w:rFonts w:ascii="Cambria" w:hAnsi="Cambria" w:cs="Calibri"/>
          <w:sz w:val="28"/>
          <w:szCs w:val="28"/>
        </w:rPr>
      </w:pPr>
      <w:r w:rsidRPr="00F0732E">
        <w:rPr>
          <w:rFonts w:ascii="Cambria" w:hAnsi="Cambria"/>
          <w:sz w:val="28"/>
          <w:szCs w:val="28"/>
        </w:rPr>
        <w:t>orgány akademickej samosprávy STU (rektor, Vedecká rada STU, AS</w:t>
      </w:r>
      <w:r w:rsidRPr="00F0732E">
        <w:rPr>
          <w:rFonts w:ascii="Cambria" w:hAnsi="Cambria"/>
          <w:spacing w:val="9"/>
          <w:sz w:val="28"/>
          <w:szCs w:val="28"/>
        </w:rPr>
        <w:t xml:space="preserve"> </w:t>
      </w:r>
      <w:r w:rsidRPr="00F0732E">
        <w:rPr>
          <w:rFonts w:ascii="Cambria" w:hAnsi="Cambria"/>
          <w:sz w:val="28"/>
          <w:szCs w:val="28"/>
        </w:rPr>
        <w:t>STU,</w:t>
      </w:r>
      <w:r w:rsidRPr="00F0732E">
        <w:rPr>
          <w:rFonts w:ascii="Cambria" w:hAnsi="Cambria"/>
          <w:w w:val="99"/>
          <w:sz w:val="28"/>
          <w:szCs w:val="28"/>
        </w:rPr>
        <w:t xml:space="preserve"> </w:t>
      </w:r>
      <w:r w:rsidRPr="00F0732E">
        <w:rPr>
          <w:rFonts w:ascii="Cambria" w:hAnsi="Cambria"/>
          <w:sz w:val="28"/>
          <w:szCs w:val="28"/>
        </w:rPr>
        <w:t>Disciplinárna komisia</w:t>
      </w:r>
      <w:r w:rsidRPr="00F0732E">
        <w:rPr>
          <w:rFonts w:ascii="Cambria" w:hAnsi="Cambria"/>
          <w:spacing w:val="-3"/>
          <w:sz w:val="28"/>
          <w:szCs w:val="28"/>
        </w:rPr>
        <w:t xml:space="preserve"> </w:t>
      </w:r>
      <w:r w:rsidRPr="00F0732E">
        <w:rPr>
          <w:rFonts w:ascii="Cambria" w:hAnsi="Cambria"/>
          <w:sz w:val="28"/>
          <w:szCs w:val="28"/>
        </w:rPr>
        <w:t>STU),</w:t>
      </w:r>
    </w:p>
    <w:p w:rsidR="00B51749" w:rsidRPr="00F0732E" w:rsidRDefault="00B51749" w:rsidP="00B51749">
      <w:pPr>
        <w:pStyle w:val="Odsekzoznamu"/>
        <w:widowControl w:val="0"/>
        <w:numPr>
          <w:ilvl w:val="1"/>
          <w:numId w:val="25"/>
        </w:numPr>
        <w:spacing w:before="2" w:after="0" w:line="240" w:lineRule="auto"/>
        <w:ind w:left="851" w:right="118"/>
        <w:rPr>
          <w:rFonts w:ascii="Cambria" w:hAnsi="Cambria" w:cs="Calibri"/>
          <w:sz w:val="28"/>
          <w:szCs w:val="28"/>
        </w:rPr>
      </w:pPr>
      <w:r w:rsidRPr="00F0732E">
        <w:rPr>
          <w:rFonts w:ascii="Cambria" w:hAnsi="Cambria"/>
          <w:sz w:val="28"/>
          <w:szCs w:val="28"/>
        </w:rPr>
        <w:t>poradné orgány rektora (vedenie STU, kolégium rektora a rada pre kvalitu</w:t>
      </w:r>
      <w:r w:rsidRPr="00F0732E">
        <w:rPr>
          <w:rFonts w:ascii="Cambria" w:hAnsi="Cambria"/>
          <w:spacing w:val="-13"/>
          <w:sz w:val="28"/>
          <w:szCs w:val="28"/>
        </w:rPr>
        <w:t xml:space="preserve"> </w:t>
      </w:r>
      <w:r w:rsidRPr="00F0732E">
        <w:rPr>
          <w:rFonts w:ascii="Cambria" w:hAnsi="Cambria"/>
          <w:sz w:val="28"/>
          <w:szCs w:val="28"/>
        </w:rPr>
        <w:t>STU),</w:t>
      </w:r>
    </w:p>
    <w:p w:rsidR="00B51749" w:rsidRPr="00F0732E" w:rsidRDefault="00B51749" w:rsidP="00B51749">
      <w:pPr>
        <w:pStyle w:val="Odsekzoznamu"/>
        <w:widowControl w:val="0"/>
        <w:numPr>
          <w:ilvl w:val="1"/>
          <w:numId w:val="25"/>
        </w:numPr>
        <w:spacing w:after="0" w:line="240" w:lineRule="auto"/>
        <w:ind w:left="851" w:right="118"/>
        <w:rPr>
          <w:rFonts w:ascii="Cambria" w:hAnsi="Cambria" w:cs="Calibri"/>
          <w:sz w:val="28"/>
          <w:szCs w:val="28"/>
        </w:rPr>
      </w:pPr>
      <w:r w:rsidRPr="00F0732E">
        <w:rPr>
          <w:rFonts w:ascii="Cambria" w:hAnsi="Cambria"/>
          <w:sz w:val="28"/>
          <w:szCs w:val="28"/>
        </w:rPr>
        <w:t>orgány akademickej samosprávy fakulty (dekan, vedecká rada fakulty,</w:t>
      </w:r>
      <w:r w:rsidRPr="00F0732E">
        <w:rPr>
          <w:rFonts w:ascii="Cambria" w:hAnsi="Cambria"/>
          <w:spacing w:val="29"/>
          <w:sz w:val="28"/>
          <w:szCs w:val="28"/>
        </w:rPr>
        <w:t xml:space="preserve"> </w:t>
      </w:r>
      <w:r w:rsidRPr="00F0732E">
        <w:rPr>
          <w:rFonts w:ascii="Cambria" w:hAnsi="Cambria"/>
          <w:sz w:val="28"/>
          <w:szCs w:val="28"/>
        </w:rPr>
        <w:t>akademický senát fakulty, disciplinárna komisia fakulty</w:t>
      </w:r>
      <w:r w:rsidRPr="00F0732E">
        <w:rPr>
          <w:rFonts w:ascii="Cambria" w:hAnsi="Cambria"/>
          <w:spacing w:val="-3"/>
          <w:sz w:val="28"/>
          <w:szCs w:val="28"/>
        </w:rPr>
        <w:t xml:space="preserve"> </w:t>
      </w:r>
      <w:r w:rsidRPr="00F0732E">
        <w:rPr>
          <w:rFonts w:ascii="Cambria" w:hAnsi="Cambria"/>
          <w:sz w:val="28"/>
          <w:szCs w:val="28"/>
        </w:rPr>
        <w:t>STU),</w:t>
      </w:r>
    </w:p>
    <w:p w:rsidR="00B51749" w:rsidRPr="00F0732E" w:rsidRDefault="00B51749" w:rsidP="00B51749">
      <w:pPr>
        <w:pStyle w:val="Odsekzoznamu"/>
        <w:widowControl w:val="0"/>
        <w:numPr>
          <w:ilvl w:val="1"/>
          <w:numId w:val="25"/>
        </w:numPr>
        <w:spacing w:after="0" w:line="240" w:lineRule="auto"/>
        <w:ind w:left="851" w:right="118"/>
        <w:rPr>
          <w:rFonts w:ascii="Cambria" w:hAnsi="Cambria" w:cs="Calibri"/>
          <w:sz w:val="28"/>
          <w:szCs w:val="28"/>
        </w:rPr>
      </w:pPr>
      <w:r w:rsidRPr="00F0732E">
        <w:rPr>
          <w:rFonts w:ascii="Cambria" w:hAnsi="Cambria"/>
          <w:sz w:val="28"/>
          <w:szCs w:val="28"/>
        </w:rPr>
        <w:t>poradné orgány dekana (vedenie fakulty, kolégium dekana a rada pre</w:t>
      </w:r>
      <w:r w:rsidRPr="00F0732E">
        <w:rPr>
          <w:rFonts w:ascii="Cambria" w:hAnsi="Cambria"/>
          <w:spacing w:val="32"/>
          <w:sz w:val="28"/>
          <w:szCs w:val="28"/>
        </w:rPr>
        <w:t xml:space="preserve"> </w:t>
      </w:r>
      <w:r w:rsidRPr="00F0732E">
        <w:rPr>
          <w:rFonts w:ascii="Cambria" w:hAnsi="Cambria"/>
          <w:sz w:val="28"/>
          <w:szCs w:val="28"/>
        </w:rPr>
        <w:t>kvalitu fakulty),</w:t>
      </w:r>
    </w:p>
    <w:p w:rsidR="00B51749" w:rsidRPr="00F0732E" w:rsidRDefault="00B51749" w:rsidP="00B51749">
      <w:pPr>
        <w:pStyle w:val="Odsekzoznamu"/>
        <w:widowControl w:val="0"/>
        <w:numPr>
          <w:ilvl w:val="1"/>
          <w:numId w:val="25"/>
        </w:numPr>
        <w:spacing w:before="9" w:after="0" w:line="240" w:lineRule="auto"/>
        <w:ind w:left="851" w:right="118"/>
        <w:rPr>
          <w:rFonts w:ascii="Cambria" w:hAnsi="Cambria" w:cs="Calibri"/>
          <w:sz w:val="28"/>
          <w:szCs w:val="28"/>
        </w:rPr>
      </w:pPr>
      <w:r w:rsidRPr="00F0732E">
        <w:rPr>
          <w:rFonts w:ascii="Cambria" w:hAnsi="Cambria"/>
          <w:sz w:val="28"/>
          <w:szCs w:val="28"/>
        </w:rPr>
        <w:t>odborová komisia študijného odboru doktorandských študijných</w:t>
      </w:r>
      <w:r w:rsidRPr="00F0732E">
        <w:rPr>
          <w:rFonts w:ascii="Cambria" w:hAnsi="Cambria"/>
          <w:spacing w:val="-10"/>
          <w:sz w:val="28"/>
          <w:szCs w:val="28"/>
        </w:rPr>
        <w:t xml:space="preserve"> </w:t>
      </w:r>
      <w:r w:rsidRPr="00F0732E">
        <w:rPr>
          <w:rFonts w:ascii="Cambria" w:hAnsi="Cambria"/>
          <w:sz w:val="28"/>
          <w:szCs w:val="28"/>
        </w:rPr>
        <w:t>programov,</w:t>
      </w:r>
    </w:p>
    <w:p w:rsidR="00B51749" w:rsidRPr="00F0732E" w:rsidRDefault="00B51749" w:rsidP="00B51749">
      <w:pPr>
        <w:pStyle w:val="Odsekzoznamu"/>
        <w:widowControl w:val="0"/>
        <w:numPr>
          <w:ilvl w:val="1"/>
          <w:numId w:val="25"/>
        </w:numPr>
        <w:spacing w:before="51" w:after="0" w:line="240" w:lineRule="auto"/>
        <w:ind w:left="851" w:right="118"/>
        <w:rPr>
          <w:rFonts w:ascii="Cambria" w:hAnsi="Cambria" w:cs="Calibri"/>
          <w:sz w:val="28"/>
          <w:szCs w:val="28"/>
        </w:rPr>
      </w:pPr>
      <w:r w:rsidRPr="00F0732E">
        <w:rPr>
          <w:rFonts w:ascii="Cambria" w:hAnsi="Cambria"/>
          <w:sz w:val="28"/>
          <w:szCs w:val="28"/>
        </w:rPr>
        <w:t>garant študijného</w:t>
      </w:r>
      <w:r w:rsidRPr="00F0732E">
        <w:rPr>
          <w:rFonts w:ascii="Cambria" w:hAnsi="Cambria"/>
          <w:spacing w:val="-3"/>
          <w:sz w:val="28"/>
          <w:szCs w:val="28"/>
        </w:rPr>
        <w:t xml:space="preserve"> </w:t>
      </w:r>
      <w:r w:rsidRPr="00F0732E">
        <w:rPr>
          <w:rFonts w:ascii="Cambria" w:hAnsi="Cambria"/>
          <w:sz w:val="28"/>
          <w:szCs w:val="28"/>
        </w:rPr>
        <w:t>programu,</w:t>
      </w:r>
    </w:p>
    <w:p w:rsidR="00B51749" w:rsidRPr="00F0732E" w:rsidRDefault="00B51749" w:rsidP="00B51749">
      <w:pPr>
        <w:pStyle w:val="Odsekzoznamu"/>
        <w:widowControl w:val="0"/>
        <w:numPr>
          <w:ilvl w:val="1"/>
          <w:numId w:val="25"/>
        </w:numPr>
        <w:spacing w:after="0" w:line="240" w:lineRule="auto"/>
        <w:ind w:left="851" w:right="118"/>
        <w:rPr>
          <w:rFonts w:ascii="Cambria" w:hAnsi="Cambria" w:cs="Calibri"/>
          <w:sz w:val="28"/>
          <w:szCs w:val="28"/>
        </w:rPr>
      </w:pPr>
      <w:r w:rsidRPr="00F0732E">
        <w:rPr>
          <w:rFonts w:ascii="Cambria" w:hAnsi="Cambria"/>
          <w:sz w:val="28"/>
          <w:szCs w:val="28"/>
        </w:rPr>
        <w:t>vedúci pracoviska</w:t>
      </w:r>
      <w:r w:rsidRPr="00F0732E">
        <w:rPr>
          <w:rFonts w:ascii="Cambria" w:hAnsi="Cambria"/>
          <w:spacing w:val="-3"/>
          <w:sz w:val="28"/>
          <w:szCs w:val="28"/>
        </w:rPr>
        <w:t xml:space="preserve"> </w:t>
      </w:r>
      <w:r w:rsidRPr="00F0732E">
        <w:rPr>
          <w:rFonts w:ascii="Cambria" w:hAnsi="Cambria"/>
          <w:sz w:val="28"/>
          <w:szCs w:val="28"/>
        </w:rPr>
        <w:t>(ústavu/katedry),</w:t>
      </w:r>
    </w:p>
    <w:p w:rsidR="00B51749" w:rsidRPr="00F0732E" w:rsidRDefault="00B51749" w:rsidP="00B51749">
      <w:pPr>
        <w:pStyle w:val="Odsekzoznamu"/>
        <w:widowControl w:val="0"/>
        <w:numPr>
          <w:ilvl w:val="1"/>
          <w:numId w:val="25"/>
        </w:numPr>
        <w:spacing w:after="0" w:line="240" w:lineRule="auto"/>
        <w:ind w:left="851" w:right="118"/>
        <w:rPr>
          <w:rFonts w:ascii="Cambria" w:hAnsi="Cambria" w:cs="Calibri"/>
          <w:sz w:val="28"/>
          <w:szCs w:val="28"/>
        </w:rPr>
      </w:pPr>
      <w:r w:rsidRPr="00F0732E">
        <w:rPr>
          <w:rFonts w:ascii="Cambria" w:hAnsi="Cambria"/>
          <w:sz w:val="28"/>
          <w:szCs w:val="28"/>
        </w:rPr>
        <w:t>zodpovedný učiteľ za</w:t>
      </w:r>
      <w:r w:rsidRPr="00F0732E">
        <w:rPr>
          <w:rFonts w:ascii="Cambria" w:hAnsi="Cambria"/>
          <w:spacing w:val="-3"/>
          <w:sz w:val="28"/>
          <w:szCs w:val="28"/>
        </w:rPr>
        <w:t xml:space="preserve"> </w:t>
      </w:r>
      <w:r w:rsidRPr="00F0732E">
        <w:rPr>
          <w:rFonts w:ascii="Cambria" w:hAnsi="Cambria"/>
          <w:sz w:val="28"/>
          <w:szCs w:val="28"/>
        </w:rPr>
        <w:t>predmet.</w:t>
      </w:r>
    </w:p>
    <w:p w:rsidR="00B51749" w:rsidRPr="00F0732E" w:rsidRDefault="00B51749" w:rsidP="00B51749">
      <w:pPr>
        <w:spacing w:before="199"/>
        <w:ind w:right="118"/>
        <w:rPr>
          <w:rFonts w:cs="Calibri"/>
          <w:sz w:val="28"/>
          <w:szCs w:val="28"/>
        </w:rPr>
      </w:pPr>
      <w:r w:rsidRPr="00F0732E">
        <w:rPr>
          <w:rFonts w:cs="Calibri"/>
          <w:sz w:val="28"/>
          <w:szCs w:val="28"/>
        </w:rPr>
        <w:lastRenderedPageBreak/>
        <w:t>Radu pre kvalitu STU tvorí prorektor pre vzdelávanie a príslušní prodekani</w:t>
      </w:r>
      <w:r w:rsidRPr="00F0732E">
        <w:rPr>
          <w:rFonts w:cs="Calibri"/>
          <w:spacing w:val="48"/>
          <w:sz w:val="28"/>
          <w:szCs w:val="28"/>
        </w:rPr>
        <w:t xml:space="preserve"> </w:t>
      </w:r>
      <w:r w:rsidRPr="00F0732E">
        <w:rPr>
          <w:rFonts w:cs="Calibri"/>
          <w:sz w:val="28"/>
          <w:szCs w:val="28"/>
        </w:rPr>
        <w:t xml:space="preserve">zodpovední za vysokoškolské vzdelávanie na jednotlivých fakultách. </w:t>
      </w:r>
      <w:r w:rsidRPr="00F0732E">
        <w:rPr>
          <w:sz w:val="28"/>
          <w:szCs w:val="28"/>
        </w:rPr>
        <w:t>Rady pre kvalitu fakúlt môžu byť tvorené najmä</w:t>
      </w:r>
      <w:r w:rsidRPr="00F0732E">
        <w:rPr>
          <w:spacing w:val="-4"/>
          <w:sz w:val="28"/>
          <w:szCs w:val="28"/>
        </w:rPr>
        <w:t xml:space="preserve"> </w:t>
      </w:r>
      <w:r w:rsidRPr="00F0732E">
        <w:rPr>
          <w:sz w:val="28"/>
          <w:szCs w:val="28"/>
        </w:rPr>
        <w:t>ako:</w:t>
      </w:r>
    </w:p>
    <w:p w:rsidR="00B51749" w:rsidRPr="00F0732E" w:rsidRDefault="00B51749" w:rsidP="00B51749">
      <w:pPr>
        <w:pStyle w:val="Odsekzoznamu"/>
        <w:widowControl w:val="0"/>
        <w:numPr>
          <w:ilvl w:val="1"/>
          <w:numId w:val="26"/>
        </w:numPr>
        <w:spacing w:after="0" w:line="240" w:lineRule="auto"/>
        <w:ind w:left="851" w:right="118"/>
        <w:rPr>
          <w:rFonts w:ascii="Cambria" w:hAnsi="Cambria" w:cs="Calibri"/>
          <w:sz w:val="28"/>
          <w:szCs w:val="28"/>
        </w:rPr>
      </w:pPr>
      <w:r w:rsidRPr="00F0732E">
        <w:rPr>
          <w:rFonts w:ascii="Cambria" w:hAnsi="Cambria"/>
          <w:sz w:val="28"/>
          <w:szCs w:val="28"/>
        </w:rPr>
        <w:t>rady garantov študijných</w:t>
      </w:r>
      <w:r w:rsidRPr="00F0732E">
        <w:rPr>
          <w:rFonts w:ascii="Cambria" w:hAnsi="Cambria"/>
          <w:spacing w:val="-5"/>
          <w:sz w:val="28"/>
          <w:szCs w:val="28"/>
        </w:rPr>
        <w:t xml:space="preserve"> </w:t>
      </w:r>
      <w:r w:rsidRPr="00F0732E">
        <w:rPr>
          <w:rFonts w:ascii="Cambria" w:hAnsi="Cambria"/>
          <w:sz w:val="28"/>
          <w:szCs w:val="28"/>
        </w:rPr>
        <w:t xml:space="preserve">programov </w:t>
      </w:r>
      <w:r w:rsidRPr="00F0732E">
        <w:rPr>
          <w:rFonts w:ascii="Cambria" w:hAnsi="Cambria" w:cs="Calibri"/>
          <w:sz w:val="28"/>
          <w:szCs w:val="28"/>
        </w:rPr>
        <w:t>(SvF, SjF, FA, FIIT),</w:t>
      </w:r>
    </w:p>
    <w:p w:rsidR="00B51749" w:rsidRPr="00F0732E" w:rsidRDefault="00B51749" w:rsidP="00B51749">
      <w:pPr>
        <w:pStyle w:val="Odsekzoznamu"/>
        <w:widowControl w:val="0"/>
        <w:numPr>
          <w:ilvl w:val="1"/>
          <w:numId w:val="26"/>
        </w:numPr>
        <w:spacing w:after="0" w:line="240" w:lineRule="auto"/>
        <w:ind w:left="851" w:right="118"/>
        <w:rPr>
          <w:rFonts w:ascii="Cambria" w:hAnsi="Cambria" w:cs="Calibri"/>
          <w:sz w:val="28"/>
          <w:szCs w:val="28"/>
        </w:rPr>
      </w:pPr>
      <w:r w:rsidRPr="00F0732E">
        <w:rPr>
          <w:rFonts w:ascii="Cambria" w:hAnsi="Cambria"/>
          <w:sz w:val="28"/>
          <w:szCs w:val="28"/>
        </w:rPr>
        <w:t>komisie pre hodnotenie a zabezpečovanie</w:t>
      </w:r>
      <w:r w:rsidRPr="00F0732E">
        <w:rPr>
          <w:rFonts w:ascii="Cambria" w:hAnsi="Cambria"/>
          <w:spacing w:val="-2"/>
          <w:sz w:val="28"/>
          <w:szCs w:val="28"/>
        </w:rPr>
        <w:t xml:space="preserve"> </w:t>
      </w:r>
      <w:r w:rsidRPr="00F0732E">
        <w:rPr>
          <w:rFonts w:ascii="Cambria" w:hAnsi="Cambria"/>
          <w:sz w:val="28"/>
          <w:szCs w:val="28"/>
        </w:rPr>
        <w:t xml:space="preserve">kvality </w:t>
      </w:r>
      <w:r w:rsidRPr="00F0732E">
        <w:rPr>
          <w:rFonts w:ascii="Cambria" w:hAnsi="Cambria" w:cs="Calibri"/>
          <w:sz w:val="28"/>
          <w:szCs w:val="28"/>
        </w:rPr>
        <w:t>(SjF)</w:t>
      </w:r>
      <w:r w:rsidRPr="00F0732E">
        <w:rPr>
          <w:rFonts w:ascii="Cambria" w:hAnsi="Cambria"/>
          <w:sz w:val="28"/>
          <w:szCs w:val="28"/>
        </w:rPr>
        <w:t>,</w:t>
      </w:r>
    </w:p>
    <w:p w:rsidR="00B51749" w:rsidRPr="00F0732E" w:rsidRDefault="00B51749" w:rsidP="00B51749">
      <w:pPr>
        <w:pStyle w:val="Odsekzoznamu"/>
        <w:widowControl w:val="0"/>
        <w:numPr>
          <w:ilvl w:val="1"/>
          <w:numId w:val="26"/>
        </w:numPr>
        <w:spacing w:after="0" w:line="240" w:lineRule="auto"/>
        <w:ind w:left="851" w:right="118"/>
        <w:rPr>
          <w:rFonts w:ascii="Cambria" w:hAnsi="Cambria" w:cs="Calibri"/>
          <w:sz w:val="28"/>
          <w:szCs w:val="28"/>
        </w:rPr>
      </w:pPr>
      <w:r w:rsidRPr="00F0732E">
        <w:rPr>
          <w:rFonts w:ascii="Cambria" w:hAnsi="Cambria"/>
          <w:sz w:val="28"/>
          <w:szCs w:val="28"/>
        </w:rPr>
        <w:t>komisie pre kvalitu</w:t>
      </w:r>
      <w:r w:rsidRPr="00F0732E">
        <w:rPr>
          <w:rFonts w:ascii="Cambria" w:hAnsi="Cambria"/>
          <w:spacing w:val="-2"/>
          <w:sz w:val="28"/>
          <w:szCs w:val="28"/>
        </w:rPr>
        <w:t xml:space="preserve"> </w:t>
      </w:r>
      <w:r w:rsidRPr="00F0732E">
        <w:rPr>
          <w:rFonts w:ascii="Cambria" w:hAnsi="Cambria"/>
          <w:sz w:val="28"/>
          <w:szCs w:val="28"/>
        </w:rPr>
        <w:t xml:space="preserve">vzdelávania </w:t>
      </w:r>
      <w:r w:rsidRPr="00F0732E">
        <w:rPr>
          <w:rFonts w:ascii="Cambria" w:hAnsi="Cambria" w:cs="Calibri"/>
          <w:sz w:val="28"/>
          <w:szCs w:val="28"/>
        </w:rPr>
        <w:t>(MTF</w:t>
      </w:r>
      <w:r w:rsidR="00447572">
        <w:rPr>
          <w:rFonts w:ascii="Cambria" w:hAnsi="Cambria" w:cs="Calibri"/>
          <w:sz w:val="28"/>
          <w:szCs w:val="28"/>
        </w:rPr>
        <w:t>)</w:t>
      </w:r>
      <w:r w:rsidRPr="00F0732E">
        <w:rPr>
          <w:rFonts w:ascii="Cambria" w:hAnsi="Cambria"/>
          <w:sz w:val="28"/>
          <w:szCs w:val="28"/>
        </w:rPr>
        <w:t>,</w:t>
      </w:r>
    </w:p>
    <w:p w:rsidR="00B51749" w:rsidRPr="00F0732E" w:rsidRDefault="00B51749" w:rsidP="00B51749">
      <w:pPr>
        <w:pStyle w:val="Odsekzoznamu"/>
        <w:widowControl w:val="0"/>
        <w:numPr>
          <w:ilvl w:val="1"/>
          <w:numId w:val="26"/>
        </w:numPr>
        <w:spacing w:after="0" w:line="240" w:lineRule="auto"/>
        <w:ind w:left="851" w:right="118"/>
        <w:rPr>
          <w:rFonts w:ascii="Cambria" w:hAnsi="Cambria" w:cs="Calibri"/>
          <w:sz w:val="28"/>
          <w:szCs w:val="28"/>
        </w:rPr>
      </w:pPr>
      <w:r w:rsidRPr="00F0732E">
        <w:rPr>
          <w:rFonts w:ascii="Cambria" w:hAnsi="Cambria"/>
          <w:sz w:val="28"/>
          <w:szCs w:val="28"/>
        </w:rPr>
        <w:t>pedagogické rady, prípadne pedagogické</w:t>
      </w:r>
      <w:r w:rsidRPr="00F0732E">
        <w:rPr>
          <w:rFonts w:ascii="Cambria" w:hAnsi="Cambria"/>
          <w:spacing w:val="-4"/>
          <w:sz w:val="28"/>
          <w:szCs w:val="28"/>
        </w:rPr>
        <w:t xml:space="preserve"> </w:t>
      </w:r>
      <w:r w:rsidRPr="00F0732E">
        <w:rPr>
          <w:rFonts w:ascii="Cambria" w:hAnsi="Cambria"/>
          <w:sz w:val="28"/>
          <w:szCs w:val="28"/>
        </w:rPr>
        <w:t xml:space="preserve">komisie </w:t>
      </w:r>
      <w:r w:rsidRPr="00F0732E">
        <w:rPr>
          <w:rFonts w:ascii="Cambria" w:hAnsi="Cambria" w:cs="Calibri"/>
          <w:sz w:val="28"/>
          <w:szCs w:val="28"/>
        </w:rPr>
        <w:t>(FCHPT, UM)</w:t>
      </w:r>
      <w:r w:rsidRPr="00F0732E">
        <w:rPr>
          <w:rFonts w:ascii="Cambria" w:hAnsi="Cambria"/>
          <w:sz w:val="28"/>
          <w:szCs w:val="28"/>
        </w:rPr>
        <w:t>.</w:t>
      </w:r>
    </w:p>
    <w:p w:rsidR="00B51749" w:rsidRPr="00F0732E" w:rsidRDefault="00B51749" w:rsidP="00B51749">
      <w:pPr>
        <w:rPr>
          <w:rFonts w:cs="Calibri"/>
          <w:sz w:val="28"/>
          <w:szCs w:val="28"/>
        </w:rPr>
      </w:pPr>
    </w:p>
    <w:p w:rsidR="00B51749" w:rsidRPr="00F0732E" w:rsidRDefault="00B51749" w:rsidP="00B51749">
      <w:pPr>
        <w:spacing w:before="120"/>
        <w:ind w:right="118"/>
        <w:rPr>
          <w:rFonts w:cs="Calibri"/>
          <w:sz w:val="28"/>
          <w:szCs w:val="28"/>
        </w:rPr>
      </w:pPr>
      <w:r w:rsidRPr="00F0732E">
        <w:rPr>
          <w:sz w:val="28"/>
          <w:szCs w:val="28"/>
        </w:rPr>
        <w:t>Na STU a jej fakultách sa na naplnenie všetkých požiadaviek v súlade s</w:t>
      </w:r>
      <w:r w:rsidRPr="00F0732E">
        <w:rPr>
          <w:spacing w:val="22"/>
          <w:sz w:val="28"/>
          <w:szCs w:val="28"/>
        </w:rPr>
        <w:t xml:space="preserve"> </w:t>
      </w:r>
      <w:r w:rsidRPr="00F0732E">
        <w:rPr>
          <w:sz w:val="28"/>
          <w:szCs w:val="28"/>
        </w:rPr>
        <w:t>plnením VSK používajú nasledovné</w:t>
      </w:r>
      <w:r w:rsidRPr="00F0732E">
        <w:rPr>
          <w:spacing w:val="-2"/>
          <w:sz w:val="28"/>
          <w:szCs w:val="28"/>
        </w:rPr>
        <w:t xml:space="preserve"> </w:t>
      </w:r>
      <w:r w:rsidRPr="00F0732E">
        <w:rPr>
          <w:sz w:val="28"/>
          <w:szCs w:val="28"/>
        </w:rPr>
        <w:t>nástroje:</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Zapájanie</w:t>
      </w:r>
      <w:r w:rsidRPr="00F0732E">
        <w:rPr>
          <w:rFonts w:ascii="Cambria" w:hAnsi="Cambria"/>
          <w:spacing w:val="22"/>
          <w:sz w:val="28"/>
          <w:szCs w:val="28"/>
        </w:rPr>
        <w:t xml:space="preserve"> </w:t>
      </w:r>
      <w:r w:rsidRPr="00F0732E">
        <w:rPr>
          <w:rFonts w:ascii="Cambria" w:hAnsi="Cambria"/>
          <w:sz w:val="28"/>
          <w:szCs w:val="28"/>
        </w:rPr>
        <w:t>študentov</w:t>
      </w:r>
      <w:r w:rsidRPr="00F0732E">
        <w:rPr>
          <w:rFonts w:ascii="Cambria" w:hAnsi="Cambria"/>
          <w:spacing w:val="21"/>
          <w:sz w:val="28"/>
          <w:szCs w:val="28"/>
        </w:rPr>
        <w:t xml:space="preserve"> </w:t>
      </w:r>
      <w:r w:rsidRPr="00F0732E">
        <w:rPr>
          <w:rFonts w:ascii="Cambria" w:hAnsi="Cambria"/>
          <w:sz w:val="28"/>
          <w:szCs w:val="28"/>
        </w:rPr>
        <w:t>všetkých</w:t>
      </w:r>
      <w:r w:rsidRPr="00F0732E">
        <w:rPr>
          <w:rFonts w:ascii="Cambria" w:hAnsi="Cambria"/>
          <w:spacing w:val="22"/>
          <w:sz w:val="28"/>
          <w:szCs w:val="28"/>
        </w:rPr>
        <w:t xml:space="preserve"> </w:t>
      </w:r>
      <w:r w:rsidRPr="00F0732E">
        <w:rPr>
          <w:rFonts w:ascii="Cambria" w:hAnsi="Cambria"/>
          <w:sz w:val="28"/>
          <w:szCs w:val="28"/>
        </w:rPr>
        <w:t>stupňov</w:t>
      </w:r>
      <w:r w:rsidRPr="00F0732E">
        <w:rPr>
          <w:rFonts w:ascii="Cambria" w:hAnsi="Cambria"/>
          <w:spacing w:val="21"/>
          <w:sz w:val="28"/>
          <w:szCs w:val="28"/>
        </w:rPr>
        <w:t xml:space="preserve"> </w:t>
      </w:r>
      <w:r w:rsidRPr="00F0732E">
        <w:rPr>
          <w:rFonts w:ascii="Cambria" w:hAnsi="Cambria"/>
          <w:sz w:val="28"/>
          <w:szCs w:val="28"/>
        </w:rPr>
        <w:t>štúdia</w:t>
      </w:r>
      <w:r w:rsidRPr="00F0732E">
        <w:rPr>
          <w:rFonts w:ascii="Cambria" w:hAnsi="Cambria"/>
          <w:spacing w:val="19"/>
          <w:sz w:val="28"/>
          <w:szCs w:val="28"/>
        </w:rPr>
        <w:t xml:space="preserve"> </w:t>
      </w:r>
      <w:r w:rsidRPr="00F0732E">
        <w:rPr>
          <w:rFonts w:ascii="Cambria" w:hAnsi="Cambria"/>
          <w:sz w:val="28"/>
          <w:szCs w:val="28"/>
        </w:rPr>
        <w:t>do</w:t>
      </w:r>
      <w:r w:rsidRPr="00F0732E">
        <w:rPr>
          <w:rFonts w:ascii="Cambria" w:hAnsi="Cambria"/>
          <w:spacing w:val="20"/>
          <w:sz w:val="28"/>
          <w:szCs w:val="28"/>
        </w:rPr>
        <w:t xml:space="preserve"> </w:t>
      </w:r>
      <w:r w:rsidRPr="00F0732E">
        <w:rPr>
          <w:rFonts w:ascii="Cambria" w:hAnsi="Cambria"/>
          <w:sz w:val="28"/>
          <w:szCs w:val="28"/>
        </w:rPr>
        <w:t>výskumnej</w:t>
      </w:r>
      <w:r w:rsidRPr="00F0732E">
        <w:rPr>
          <w:rFonts w:ascii="Cambria" w:hAnsi="Cambria"/>
          <w:spacing w:val="22"/>
          <w:sz w:val="28"/>
          <w:szCs w:val="28"/>
        </w:rPr>
        <w:t xml:space="preserve"> </w:t>
      </w:r>
      <w:r w:rsidRPr="00F0732E">
        <w:rPr>
          <w:rFonts w:ascii="Cambria" w:hAnsi="Cambria"/>
          <w:sz w:val="28"/>
          <w:szCs w:val="28"/>
        </w:rPr>
        <w:t>a</w:t>
      </w:r>
      <w:r w:rsidRPr="00F0732E">
        <w:rPr>
          <w:rFonts w:ascii="Cambria" w:hAnsi="Cambria"/>
          <w:spacing w:val="21"/>
          <w:sz w:val="28"/>
          <w:szCs w:val="28"/>
        </w:rPr>
        <w:t xml:space="preserve"> </w:t>
      </w:r>
      <w:r w:rsidRPr="00F0732E">
        <w:rPr>
          <w:rFonts w:ascii="Cambria" w:hAnsi="Cambria"/>
          <w:sz w:val="28"/>
          <w:szCs w:val="28"/>
        </w:rPr>
        <w:t>inej</w:t>
      </w:r>
      <w:r w:rsidRPr="00F0732E">
        <w:rPr>
          <w:rFonts w:ascii="Cambria" w:hAnsi="Cambria"/>
          <w:spacing w:val="19"/>
          <w:sz w:val="28"/>
          <w:szCs w:val="28"/>
        </w:rPr>
        <w:t xml:space="preserve"> </w:t>
      </w:r>
      <w:r w:rsidRPr="00F0732E">
        <w:rPr>
          <w:rFonts w:ascii="Cambria" w:hAnsi="Cambria"/>
          <w:sz w:val="28"/>
          <w:szCs w:val="28"/>
        </w:rPr>
        <w:t>tvorivej</w:t>
      </w:r>
      <w:r w:rsidRPr="00F0732E">
        <w:rPr>
          <w:rFonts w:ascii="Cambria" w:hAnsi="Cambria"/>
          <w:spacing w:val="22"/>
          <w:sz w:val="28"/>
          <w:szCs w:val="28"/>
        </w:rPr>
        <w:t xml:space="preserve"> </w:t>
      </w:r>
      <w:r w:rsidRPr="00F0732E">
        <w:rPr>
          <w:rFonts w:ascii="Cambria" w:hAnsi="Cambria"/>
          <w:sz w:val="28"/>
          <w:szCs w:val="28"/>
        </w:rPr>
        <w:t>činnosti vrátane</w:t>
      </w:r>
      <w:r w:rsidRPr="00F0732E">
        <w:rPr>
          <w:rFonts w:ascii="Cambria" w:hAnsi="Cambria"/>
          <w:spacing w:val="-3"/>
          <w:sz w:val="28"/>
          <w:szCs w:val="28"/>
        </w:rPr>
        <w:t xml:space="preserve"> </w:t>
      </w:r>
      <w:r w:rsidRPr="00F0732E">
        <w:rPr>
          <w:rFonts w:ascii="Cambria" w:hAnsi="Cambria"/>
          <w:sz w:val="28"/>
          <w:szCs w:val="28"/>
        </w:rPr>
        <w:t>inžinierskej.</w:t>
      </w:r>
    </w:p>
    <w:p w:rsidR="00B51749" w:rsidRPr="00F0732E" w:rsidRDefault="00B51749" w:rsidP="00B51749">
      <w:pPr>
        <w:pStyle w:val="Odsekzoznamu"/>
        <w:widowControl w:val="0"/>
        <w:numPr>
          <w:ilvl w:val="1"/>
          <w:numId w:val="27"/>
        </w:numPr>
        <w:spacing w:after="0" w:line="240" w:lineRule="auto"/>
        <w:ind w:left="709" w:right="107"/>
        <w:rPr>
          <w:rFonts w:ascii="Cambria" w:hAnsi="Cambria" w:cs="Calibri"/>
          <w:sz w:val="28"/>
          <w:szCs w:val="28"/>
        </w:rPr>
      </w:pPr>
      <w:r w:rsidRPr="00F0732E">
        <w:rPr>
          <w:rFonts w:ascii="Cambria" w:hAnsi="Cambria"/>
          <w:sz w:val="28"/>
          <w:szCs w:val="28"/>
        </w:rPr>
        <w:t>Vykonávanie revízií všetkých študijných programov s cieľom optimalizácie a</w:t>
      </w:r>
      <w:r w:rsidRPr="00F0732E">
        <w:rPr>
          <w:rFonts w:ascii="Cambria" w:hAnsi="Cambria"/>
          <w:spacing w:val="-6"/>
          <w:sz w:val="28"/>
          <w:szCs w:val="28"/>
        </w:rPr>
        <w:t xml:space="preserve"> </w:t>
      </w:r>
      <w:r w:rsidRPr="00F0732E">
        <w:rPr>
          <w:rFonts w:ascii="Cambria" w:hAnsi="Cambria"/>
          <w:sz w:val="28"/>
          <w:szCs w:val="28"/>
        </w:rPr>
        <w:t>zvýšenia efektívnosti aj v nadväznosti na dostupné ľudské zdroje, požiadavky</w:t>
      </w:r>
      <w:r w:rsidRPr="00F0732E">
        <w:rPr>
          <w:rFonts w:ascii="Cambria" w:hAnsi="Cambria"/>
          <w:spacing w:val="-18"/>
          <w:sz w:val="28"/>
          <w:szCs w:val="28"/>
        </w:rPr>
        <w:t xml:space="preserve"> </w:t>
      </w:r>
      <w:r w:rsidRPr="00F0732E">
        <w:rPr>
          <w:rFonts w:ascii="Cambria" w:hAnsi="Cambria"/>
          <w:sz w:val="28"/>
          <w:szCs w:val="28"/>
        </w:rPr>
        <w:t>spoločného univerzitného profilu absolventa, požiadavky praxe a možnosť</w:t>
      </w:r>
      <w:r w:rsidRPr="00F0732E">
        <w:rPr>
          <w:rFonts w:ascii="Cambria" w:hAnsi="Cambria"/>
          <w:spacing w:val="38"/>
          <w:sz w:val="28"/>
          <w:szCs w:val="28"/>
        </w:rPr>
        <w:t xml:space="preserve"> </w:t>
      </w:r>
      <w:r w:rsidRPr="00F0732E">
        <w:rPr>
          <w:rFonts w:ascii="Cambria" w:hAnsi="Cambria"/>
          <w:sz w:val="28"/>
          <w:szCs w:val="28"/>
        </w:rPr>
        <w:t>individuálnej profilácie.</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Modernizovanie vzdelávania s ohľadom na najnovšie poznatky v didaktike a na meniace sa potreby nastupujúcich</w:t>
      </w:r>
      <w:r w:rsidRPr="00F0732E">
        <w:rPr>
          <w:rFonts w:ascii="Cambria" w:hAnsi="Cambria"/>
          <w:spacing w:val="-9"/>
          <w:sz w:val="28"/>
          <w:szCs w:val="28"/>
        </w:rPr>
        <w:t xml:space="preserve"> </w:t>
      </w:r>
      <w:r w:rsidRPr="00F0732E">
        <w:rPr>
          <w:rFonts w:ascii="Cambria" w:hAnsi="Cambria"/>
          <w:sz w:val="28"/>
          <w:szCs w:val="28"/>
        </w:rPr>
        <w:t>študentov.</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Systematické zabezpečovanie kvality študijných</w:t>
      </w:r>
      <w:r w:rsidRPr="00F0732E">
        <w:rPr>
          <w:rFonts w:ascii="Cambria" w:hAnsi="Cambria"/>
          <w:spacing w:val="-3"/>
          <w:sz w:val="28"/>
          <w:szCs w:val="28"/>
        </w:rPr>
        <w:t xml:space="preserve"> </w:t>
      </w:r>
      <w:r w:rsidRPr="00F0732E">
        <w:rPr>
          <w:rFonts w:ascii="Cambria" w:hAnsi="Cambria"/>
          <w:sz w:val="28"/>
          <w:szCs w:val="28"/>
        </w:rPr>
        <w:t>programov.</w:t>
      </w:r>
    </w:p>
    <w:p w:rsidR="00B51749" w:rsidRPr="00F0732E" w:rsidRDefault="00B51749" w:rsidP="00B51749">
      <w:pPr>
        <w:pStyle w:val="Odsekzoznamu"/>
        <w:widowControl w:val="0"/>
        <w:numPr>
          <w:ilvl w:val="1"/>
          <w:numId w:val="27"/>
        </w:numPr>
        <w:spacing w:before="2" w:after="0" w:line="240" w:lineRule="auto"/>
        <w:ind w:left="709" w:right="118"/>
        <w:jc w:val="left"/>
        <w:rPr>
          <w:rFonts w:ascii="Cambria" w:hAnsi="Cambria" w:cs="Calibri"/>
          <w:sz w:val="28"/>
          <w:szCs w:val="28"/>
        </w:rPr>
      </w:pPr>
      <w:r w:rsidRPr="00F0732E">
        <w:rPr>
          <w:rFonts w:ascii="Cambria" w:hAnsi="Cambria"/>
          <w:sz w:val="28"/>
          <w:szCs w:val="28"/>
        </w:rPr>
        <w:t>Zvyšovanie efektívnosti systému interného hodnotenia a zabezpečenia</w:t>
      </w:r>
      <w:r w:rsidRPr="00F0732E">
        <w:rPr>
          <w:rFonts w:ascii="Cambria" w:hAnsi="Cambria"/>
          <w:spacing w:val="-12"/>
          <w:sz w:val="28"/>
          <w:szCs w:val="28"/>
        </w:rPr>
        <w:t xml:space="preserve"> </w:t>
      </w:r>
      <w:r w:rsidRPr="00F0732E">
        <w:rPr>
          <w:rFonts w:ascii="Cambria" w:hAnsi="Cambria"/>
          <w:sz w:val="28"/>
          <w:szCs w:val="28"/>
        </w:rPr>
        <w:t>kvality.</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Zavádzanie systému poradenských a konzultačných služieb, ktorý pomôže</w:t>
      </w:r>
      <w:r w:rsidRPr="00F0732E">
        <w:rPr>
          <w:rFonts w:ascii="Cambria" w:hAnsi="Cambria"/>
          <w:spacing w:val="5"/>
          <w:sz w:val="28"/>
          <w:szCs w:val="28"/>
        </w:rPr>
        <w:t xml:space="preserve"> </w:t>
      </w:r>
      <w:r w:rsidRPr="00F0732E">
        <w:rPr>
          <w:rFonts w:ascii="Cambria" w:hAnsi="Cambria"/>
          <w:sz w:val="28"/>
          <w:szCs w:val="28"/>
        </w:rPr>
        <w:t>zlepšiť úspešnosť, najmä v prvom stupni štúdia s využitím aktivity a kolegiality</w:t>
      </w:r>
      <w:r w:rsidRPr="00F0732E">
        <w:rPr>
          <w:rFonts w:ascii="Cambria" w:hAnsi="Cambria"/>
          <w:spacing w:val="-25"/>
          <w:sz w:val="28"/>
          <w:szCs w:val="28"/>
        </w:rPr>
        <w:t xml:space="preserve"> </w:t>
      </w:r>
      <w:r w:rsidRPr="00F0732E">
        <w:rPr>
          <w:rFonts w:ascii="Cambria" w:hAnsi="Cambria"/>
          <w:sz w:val="28"/>
          <w:szCs w:val="28"/>
        </w:rPr>
        <w:t>študentov.</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Podporovanie rovnosti príležitostí pri prijímaní na štúdium pre sociálne</w:t>
      </w:r>
      <w:r w:rsidRPr="00F0732E">
        <w:rPr>
          <w:rFonts w:ascii="Cambria" w:hAnsi="Cambria"/>
          <w:spacing w:val="16"/>
          <w:sz w:val="28"/>
          <w:szCs w:val="28"/>
        </w:rPr>
        <w:t xml:space="preserve"> </w:t>
      </w:r>
      <w:r w:rsidRPr="00F0732E">
        <w:rPr>
          <w:rFonts w:ascii="Cambria" w:hAnsi="Cambria"/>
          <w:sz w:val="28"/>
          <w:szCs w:val="28"/>
        </w:rPr>
        <w:t>slabšie skupiny systémom</w:t>
      </w:r>
      <w:r w:rsidRPr="00F0732E">
        <w:rPr>
          <w:rFonts w:ascii="Cambria" w:hAnsi="Cambria"/>
          <w:spacing w:val="-1"/>
          <w:sz w:val="28"/>
          <w:szCs w:val="28"/>
        </w:rPr>
        <w:t xml:space="preserve"> </w:t>
      </w:r>
      <w:r w:rsidRPr="00F0732E">
        <w:rPr>
          <w:rFonts w:ascii="Cambria" w:hAnsi="Cambria"/>
          <w:sz w:val="28"/>
          <w:szCs w:val="28"/>
        </w:rPr>
        <w:t>štipendií.</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Zefektívňovanie procesu</w:t>
      </w:r>
      <w:r w:rsidR="00447572">
        <w:rPr>
          <w:rFonts w:ascii="Cambria" w:hAnsi="Cambria"/>
          <w:sz w:val="28"/>
          <w:szCs w:val="28"/>
        </w:rPr>
        <w:t xml:space="preserve"> </w:t>
      </w:r>
      <w:r w:rsidRPr="00F0732E">
        <w:rPr>
          <w:rFonts w:ascii="Cambria" w:hAnsi="Cambria"/>
          <w:sz w:val="28"/>
          <w:szCs w:val="28"/>
        </w:rPr>
        <w:t>prijímacieho konania na druhý a tretí stupeň</w:t>
      </w:r>
      <w:r w:rsidRPr="00F0732E">
        <w:rPr>
          <w:rFonts w:ascii="Cambria" w:hAnsi="Cambria"/>
          <w:spacing w:val="16"/>
          <w:sz w:val="28"/>
          <w:szCs w:val="28"/>
        </w:rPr>
        <w:t xml:space="preserve"> </w:t>
      </w:r>
      <w:r w:rsidRPr="00F0732E">
        <w:rPr>
          <w:rFonts w:ascii="Cambria" w:hAnsi="Cambria"/>
          <w:sz w:val="28"/>
          <w:szCs w:val="28"/>
        </w:rPr>
        <w:t>štúdia a zlepšovanie marketingu pre nábor študentov v</w:t>
      </w:r>
      <w:r w:rsidRPr="00F0732E">
        <w:rPr>
          <w:rFonts w:ascii="Cambria" w:hAnsi="Cambria"/>
          <w:spacing w:val="-5"/>
          <w:sz w:val="28"/>
          <w:szCs w:val="28"/>
        </w:rPr>
        <w:t xml:space="preserve"> </w:t>
      </w:r>
      <w:r w:rsidRPr="00F0732E">
        <w:rPr>
          <w:rFonts w:ascii="Cambria" w:hAnsi="Cambria"/>
          <w:sz w:val="28"/>
          <w:szCs w:val="28"/>
        </w:rPr>
        <w:t>zahraničí.</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Posilňovanie výučby jazykov, vrátane slovenského jazyka pre</w:t>
      </w:r>
      <w:r w:rsidRPr="00F0732E">
        <w:rPr>
          <w:rFonts w:ascii="Cambria" w:hAnsi="Cambria"/>
          <w:spacing w:val="39"/>
          <w:sz w:val="28"/>
          <w:szCs w:val="28"/>
        </w:rPr>
        <w:t xml:space="preserve"> </w:t>
      </w:r>
      <w:r w:rsidRPr="00F0732E">
        <w:rPr>
          <w:rFonts w:ascii="Cambria" w:hAnsi="Cambria"/>
          <w:sz w:val="28"/>
          <w:szCs w:val="28"/>
        </w:rPr>
        <w:t>zahraničných študentov v rámci prípravy na štúdium v</w:t>
      </w:r>
      <w:r w:rsidRPr="00F0732E">
        <w:rPr>
          <w:rFonts w:ascii="Cambria" w:hAnsi="Cambria"/>
          <w:spacing w:val="-3"/>
          <w:sz w:val="28"/>
          <w:szCs w:val="28"/>
        </w:rPr>
        <w:t xml:space="preserve"> </w:t>
      </w:r>
      <w:r w:rsidRPr="00F0732E">
        <w:rPr>
          <w:rFonts w:ascii="Cambria" w:hAnsi="Cambria"/>
          <w:sz w:val="28"/>
          <w:szCs w:val="28"/>
        </w:rPr>
        <w:t>slovenčine.</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Zvyšovanie počtu študijných programov poskytovaných vo svetovom</w:t>
      </w:r>
      <w:r w:rsidRPr="00F0732E">
        <w:rPr>
          <w:rFonts w:ascii="Cambria" w:hAnsi="Cambria"/>
          <w:spacing w:val="-7"/>
          <w:sz w:val="28"/>
          <w:szCs w:val="28"/>
        </w:rPr>
        <w:t xml:space="preserve"> </w:t>
      </w:r>
      <w:r w:rsidRPr="00F0732E">
        <w:rPr>
          <w:rFonts w:ascii="Cambria" w:hAnsi="Cambria"/>
          <w:sz w:val="28"/>
          <w:szCs w:val="28"/>
        </w:rPr>
        <w:t>jazyku.</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Posilňovanie mechanizmov umožňujúcich študentom absolvovať časť štúdia v zahraničí.</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lastRenderedPageBreak/>
        <w:t>Podporovanie</w:t>
      </w:r>
      <w:r w:rsidRPr="00F0732E">
        <w:rPr>
          <w:rFonts w:ascii="Cambria" w:hAnsi="Cambria"/>
          <w:spacing w:val="20"/>
          <w:sz w:val="28"/>
          <w:szCs w:val="28"/>
        </w:rPr>
        <w:t xml:space="preserve"> </w:t>
      </w:r>
      <w:r w:rsidRPr="00F0732E">
        <w:rPr>
          <w:rFonts w:ascii="Cambria" w:hAnsi="Cambria"/>
          <w:sz w:val="28"/>
          <w:szCs w:val="28"/>
        </w:rPr>
        <w:t>zdravého</w:t>
      </w:r>
      <w:r w:rsidRPr="00F0732E">
        <w:rPr>
          <w:rFonts w:ascii="Cambria" w:hAnsi="Cambria"/>
          <w:spacing w:val="17"/>
          <w:sz w:val="28"/>
          <w:szCs w:val="28"/>
        </w:rPr>
        <w:t xml:space="preserve"> </w:t>
      </w:r>
      <w:r w:rsidRPr="00F0732E">
        <w:rPr>
          <w:rFonts w:ascii="Cambria" w:hAnsi="Cambria"/>
          <w:sz w:val="28"/>
          <w:szCs w:val="28"/>
        </w:rPr>
        <w:t>životného</w:t>
      </w:r>
      <w:r w:rsidRPr="00F0732E">
        <w:rPr>
          <w:rFonts w:ascii="Cambria" w:hAnsi="Cambria"/>
          <w:spacing w:val="22"/>
          <w:sz w:val="28"/>
          <w:szCs w:val="28"/>
        </w:rPr>
        <w:t xml:space="preserve"> </w:t>
      </w:r>
      <w:r w:rsidRPr="00F0732E">
        <w:rPr>
          <w:rFonts w:ascii="Cambria" w:hAnsi="Cambria"/>
          <w:sz w:val="28"/>
          <w:szCs w:val="28"/>
        </w:rPr>
        <w:t>štýlu</w:t>
      </w:r>
      <w:r w:rsidRPr="00F0732E">
        <w:rPr>
          <w:rFonts w:ascii="Cambria" w:hAnsi="Cambria"/>
          <w:spacing w:val="20"/>
          <w:sz w:val="28"/>
          <w:szCs w:val="28"/>
        </w:rPr>
        <w:t xml:space="preserve"> </w:t>
      </w:r>
      <w:r w:rsidRPr="00F0732E">
        <w:rPr>
          <w:rFonts w:ascii="Cambria" w:hAnsi="Cambria"/>
          <w:sz w:val="28"/>
          <w:szCs w:val="28"/>
        </w:rPr>
        <w:t>a</w:t>
      </w:r>
      <w:r w:rsidRPr="00F0732E">
        <w:rPr>
          <w:rFonts w:ascii="Cambria" w:hAnsi="Cambria"/>
          <w:spacing w:val="20"/>
          <w:sz w:val="28"/>
          <w:szCs w:val="28"/>
        </w:rPr>
        <w:t xml:space="preserve"> </w:t>
      </w:r>
      <w:r w:rsidRPr="00F0732E">
        <w:rPr>
          <w:rFonts w:ascii="Cambria" w:hAnsi="Cambria"/>
          <w:sz w:val="28"/>
          <w:szCs w:val="28"/>
        </w:rPr>
        <w:t>športových</w:t>
      </w:r>
      <w:r w:rsidRPr="00F0732E">
        <w:rPr>
          <w:rFonts w:ascii="Cambria" w:hAnsi="Cambria"/>
          <w:spacing w:val="22"/>
          <w:sz w:val="28"/>
          <w:szCs w:val="28"/>
        </w:rPr>
        <w:t xml:space="preserve"> </w:t>
      </w:r>
      <w:r w:rsidRPr="00F0732E">
        <w:rPr>
          <w:rFonts w:ascii="Cambria" w:hAnsi="Cambria"/>
          <w:sz w:val="28"/>
          <w:szCs w:val="28"/>
        </w:rPr>
        <w:t>aktivít</w:t>
      </w:r>
      <w:r w:rsidRPr="00F0732E">
        <w:rPr>
          <w:rFonts w:ascii="Cambria" w:hAnsi="Cambria"/>
          <w:spacing w:val="20"/>
          <w:sz w:val="28"/>
          <w:szCs w:val="28"/>
        </w:rPr>
        <w:t xml:space="preserve"> </w:t>
      </w:r>
      <w:r w:rsidRPr="00F0732E">
        <w:rPr>
          <w:rFonts w:ascii="Cambria" w:hAnsi="Cambria"/>
          <w:sz w:val="28"/>
          <w:szCs w:val="28"/>
        </w:rPr>
        <w:t>v</w:t>
      </w:r>
      <w:r w:rsidRPr="00F0732E">
        <w:rPr>
          <w:rFonts w:ascii="Cambria" w:hAnsi="Cambria"/>
          <w:spacing w:val="19"/>
          <w:sz w:val="28"/>
          <w:szCs w:val="28"/>
        </w:rPr>
        <w:t xml:space="preserve"> </w:t>
      </w:r>
      <w:r w:rsidRPr="00F0732E">
        <w:rPr>
          <w:rFonts w:ascii="Cambria" w:hAnsi="Cambria"/>
          <w:sz w:val="28"/>
          <w:szCs w:val="28"/>
        </w:rPr>
        <w:t>rámci</w:t>
      </w:r>
      <w:r w:rsidRPr="00F0732E">
        <w:rPr>
          <w:rFonts w:ascii="Cambria" w:hAnsi="Cambria"/>
          <w:spacing w:val="20"/>
          <w:sz w:val="28"/>
          <w:szCs w:val="28"/>
        </w:rPr>
        <w:t xml:space="preserve"> </w:t>
      </w:r>
      <w:r w:rsidRPr="00F0732E">
        <w:rPr>
          <w:rFonts w:ascii="Cambria" w:hAnsi="Cambria"/>
          <w:sz w:val="28"/>
          <w:szCs w:val="28"/>
        </w:rPr>
        <w:t>i</w:t>
      </w:r>
      <w:r w:rsidRPr="00F0732E">
        <w:rPr>
          <w:rFonts w:ascii="Cambria" w:hAnsi="Cambria"/>
          <w:spacing w:val="20"/>
          <w:sz w:val="28"/>
          <w:szCs w:val="28"/>
        </w:rPr>
        <w:t xml:space="preserve"> </w:t>
      </w:r>
      <w:r w:rsidRPr="00F0732E">
        <w:rPr>
          <w:rFonts w:ascii="Cambria" w:hAnsi="Cambria"/>
          <w:sz w:val="28"/>
          <w:szCs w:val="28"/>
        </w:rPr>
        <w:t>mimo</w:t>
      </w:r>
      <w:r w:rsidRPr="00F0732E">
        <w:rPr>
          <w:rFonts w:ascii="Cambria" w:hAnsi="Cambria"/>
          <w:spacing w:val="22"/>
          <w:sz w:val="28"/>
          <w:szCs w:val="28"/>
        </w:rPr>
        <w:t xml:space="preserve"> </w:t>
      </w:r>
      <w:r w:rsidRPr="00F0732E">
        <w:rPr>
          <w:rFonts w:ascii="Cambria" w:hAnsi="Cambria"/>
          <w:sz w:val="28"/>
          <w:szCs w:val="28"/>
        </w:rPr>
        <w:t>rámca študijných</w:t>
      </w:r>
      <w:r w:rsidRPr="00F0732E">
        <w:rPr>
          <w:rFonts w:ascii="Cambria" w:hAnsi="Cambria"/>
          <w:spacing w:val="-2"/>
          <w:sz w:val="28"/>
          <w:szCs w:val="28"/>
        </w:rPr>
        <w:t xml:space="preserve"> </w:t>
      </w:r>
      <w:r w:rsidRPr="00F0732E">
        <w:rPr>
          <w:rFonts w:ascii="Cambria" w:hAnsi="Cambria"/>
          <w:sz w:val="28"/>
          <w:szCs w:val="28"/>
        </w:rPr>
        <w:t>povinností.</w:t>
      </w:r>
    </w:p>
    <w:p w:rsidR="00B51749" w:rsidRPr="00F0732E" w:rsidRDefault="00B51749" w:rsidP="00B51749">
      <w:pPr>
        <w:pStyle w:val="Odsekzoznamu"/>
        <w:widowControl w:val="0"/>
        <w:numPr>
          <w:ilvl w:val="1"/>
          <w:numId w:val="27"/>
        </w:numPr>
        <w:spacing w:before="2" w:after="0" w:line="240" w:lineRule="auto"/>
        <w:ind w:left="709" w:right="118"/>
        <w:jc w:val="left"/>
        <w:rPr>
          <w:rFonts w:ascii="Cambria" w:hAnsi="Cambria" w:cs="Calibri"/>
          <w:sz w:val="28"/>
          <w:szCs w:val="28"/>
        </w:rPr>
      </w:pPr>
      <w:r w:rsidRPr="00F0732E">
        <w:rPr>
          <w:rFonts w:ascii="Cambria" w:hAnsi="Cambria"/>
          <w:sz w:val="28"/>
          <w:szCs w:val="28"/>
        </w:rPr>
        <w:t>Vyhodnocovanie kvality vzdelávacieho procesu a učiteľov študentmi</w:t>
      </w:r>
      <w:r w:rsidRPr="00F0732E">
        <w:rPr>
          <w:rFonts w:ascii="Cambria" w:hAnsi="Cambria"/>
          <w:spacing w:val="34"/>
          <w:sz w:val="28"/>
          <w:szCs w:val="28"/>
        </w:rPr>
        <w:t xml:space="preserve"> </w:t>
      </w:r>
      <w:r w:rsidRPr="00F0732E">
        <w:rPr>
          <w:rFonts w:ascii="Cambria" w:hAnsi="Cambria"/>
          <w:sz w:val="28"/>
          <w:szCs w:val="28"/>
        </w:rPr>
        <w:t>(monitoring spokojnosti študentov) dotazníkovým</w:t>
      </w:r>
      <w:r w:rsidRPr="00F0732E">
        <w:rPr>
          <w:rFonts w:ascii="Cambria" w:hAnsi="Cambria"/>
          <w:spacing w:val="-2"/>
          <w:sz w:val="28"/>
          <w:szCs w:val="28"/>
        </w:rPr>
        <w:t xml:space="preserve"> </w:t>
      </w:r>
      <w:r w:rsidRPr="00F0732E">
        <w:rPr>
          <w:rFonts w:ascii="Cambria" w:hAnsi="Cambria"/>
          <w:sz w:val="28"/>
          <w:szCs w:val="28"/>
        </w:rPr>
        <w:t>prieskumom.</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Monitorovanie úspešnosti študentov a zamestnanosti</w:t>
      </w:r>
      <w:r w:rsidRPr="00F0732E">
        <w:rPr>
          <w:rFonts w:ascii="Cambria" w:hAnsi="Cambria"/>
          <w:spacing w:val="-7"/>
          <w:sz w:val="28"/>
          <w:szCs w:val="28"/>
        </w:rPr>
        <w:t xml:space="preserve"> </w:t>
      </w:r>
      <w:r w:rsidRPr="00F0732E">
        <w:rPr>
          <w:rFonts w:ascii="Cambria" w:hAnsi="Cambria"/>
          <w:sz w:val="28"/>
          <w:szCs w:val="28"/>
        </w:rPr>
        <w:t>absolventov.</w:t>
      </w:r>
    </w:p>
    <w:p w:rsidR="00B51749" w:rsidRPr="00F0732E" w:rsidRDefault="00B51749" w:rsidP="00B51749">
      <w:pPr>
        <w:pStyle w:val="Odsekzoznamu"/>
        <w:widowControl w:val="0"/>
        <w:numPr>
          <w:ilvl w:val="1"/>
          <w:numId w:val="27"/>
        </w:numPr>
        <w:spacing w:after="0" w:line="240" w:lineRule="auto"/>
        <w:ind w:left="709" w:right="118"/>
        <w:jc w:val="left"/>
        <w:rPr>
          <w:rFonts w:ascii="Cambria" w:hAnsi="Cambria" w:cs="Calibri"/>
          <w:sz w:val="28"/>
          <w:szCs w:val="28"/>
        </w:rPr>
      </w:pPr>
      <w:r w:rsidRPr="00F0732E">
        <w:rPr>
          <w:rFonts w:ascii="Cambria" w:hAnsi="Cambria"/>
          <w:sz w:val="28"/>
          <w:szCs w:val="28"/>
        </w:rPr>
        <w:t>Monitorovanie spätnej väzby od absolventov, zamestnávateľov a ďalších interných a externých</w:t>
      </w:r>
      <w:r w:rsidRPr="00F0732E">
        <w:rPr>
          <w:rFonts w:ascii="Cambria" w:hAnsi="Cambria"/>
          <w:spacing w:val="1"/>
          <w:sz w:val="28"/>
          <w:szCs w:val="28"/>
        </w:rPr>
        <w:t xml:space="preserve"> </w:t>
      </w:r>
      <w:r w:rsidRPr="00F0732E">
        <w:rPr>
          <w:rFonts w:ascii="Cambria" w:hAnsi="Cambria"/>
          <w:sz w:val="28"/>
          <w:szCs w:val="28"/>
        </w:rPr>
        <w:t>hodnotiteľov.</w:t>
      </w:r>
    </w:p>
    <w:p w:rsidR="00B51749" w:rsidRPr="00F0732E" w:rsidRDefault="00B51749" w:rsidP="00B51749">
      <w:pPr>
        <w:ind w:left="360"/>
        <w:rPr>
          <w:rFonts w:cs="Calibri"/>
          <w:sz w:val="28"/>
          <w:szCs w:val="28"/>
        </w:rPr>
      </w:pPr>
    </w:p>
    <w:p w:rsidR="00B51749" w:rsidRPr="00F0732E" w:rsidRDefault="00B51749" w:rsidP="00B51749">
      <w:pPr>
        <w:ind w:right="118"/>
        <w:rPr>
          <w:rFonts w:cs="Calibri"/>
          <w:sz w:val="28"/>
          <w:szCs w:val="28"/>
        </w:rPr>
      </w:pPr>
      <w:r w:rsidRPr="00F0732E">
        <w:rPr>
          <w:sz w:val="28"/>
          <w:szCs w:val="28"/>
        </w:rPr>
        <w:t>Zapojenie študentov do zabezpečovania a zlepšovania vnútorného systému kvality</w:t>
      </w:r>
      <w:r w:rsidRPr="00F0732E">
        <w:rPr>
          <w:spacing w:val="8"/>
          <w:sz w:val="28"/>
          <w:szCs w:val="28"/>
        </w:rPr>
        <w:t xml:space="preserve"> </w:t>
      </w:r>
      <w:r w:rsidRPr="00F0732E">
        <w:rPr>
          <w:sz w:val="28"/>
          <w:szCs w:val="28"/>
        </w:rPr>
        <w:t>je realizované viacerými</w:t>
      </w:r>
      <w:r w:rsidRPr="00F0732E">
        <w:rPr>
          <w:spacing w:val="-2"/>
          <w:sz w:val="28"/>
          <w:szCs w:val="28"/>
        </w:rPr>
        <w:t xml:space="preserve"> </w:t>
      </w:r>
      <w:r w:rsidRPr="00F0732E">
        <w:rPr>
          <w:sz w:val="28"/>
          <w:szCs w:val="28"/>
        </w:rPr>
        <w:t>spôsobmi:</w:t>
      </w:r>
    </w:p>
    <w:p w:rsidR="00B51749" w:rsidRPr="00F0732E" w:rsidRDefault="00B51749" w:rsidP="00B51749">
      <w:pPr>
        <w:pStyle w:val="Odsekzoznamu"/>
        <w:widowControl w:val="0"/>
        <w:numPr>
          <w:ilvl w:val="1"/>
          <w:numId w:val="28"/>
        </w:numPr>
        <w:spacing w:after="0" w:line="240" w:lineRule="auto"/>
        <w:ind w:left="709" w:right="109"/>
        <w:rPr>
          <w:rFonts w:ascii="Cambria" w:hAnsi="Cambria" w:cs="Calibri"/>
          <w:sz w:val="28"/>
          <w:szCs w:val="28"/>
        </w:rPr>
      </w:pPr>
      <w:r w:rsidRPr="00F0732E">
        <w:rPr>
          <w:rFonts w:ascii="Cambria" w:hAnsi="Cambria"/>
          <w:sz w:val="28"/>
          <w:szCs w:val="28"/>
        </w:rPr>
        <w:t>vyjadrovaním</w:t>
      </w:r>
      <w:r w:rsidRPr="00F0732E">
        <w:rPr>
          <w:rFonts w:ascii="Cambria" w:hAnsi="Cambria"/>
          <w:spacing w:val="39"/>
          <w:sz w:val="28"/>
          <w:szCs w:val="28"/>
        </w:rPr>
        <w:t xml:space="preserve"> </w:t>
      </w:r>
      <w:r w:rsidRPr="00F0732E">
        <w:rPr>
          <w:rFonts w:ascii="Cambria" w:hAnsi="Cambria"/>
          <w:sz w:val="28"/>
          <w:szCs w:val="28"/>
        </w:rPr>
        <w:t>sa</w:t>
      </w:r>
      <w:r w:rsidRPr="00F0732E">
        <w:rPr>
          <w:rFonts w:ascii="Cambria" w:hAnsi="Cambria"/>
          <w:spacing w:val="41"/>
          <w:sz w:val="28"/>
          <w:szCs w:val="28"/>
        </w:rPr>
        <w:t xml:space="preserve"> </w:t>
      </w:r>
      <w:r w:rsidRPr="00F0732E">
        <w:rPr>
          <w:rFonts w:ascii="Cambria" w:hAnsi="Cambria"/>
          <w:sz w:val="28"/>
          <w:szCs w:val="28"/>
        </w:rPr>
        <w:t>ku</w:t>
      </w:r>
      <w:r w:rsidRPr="00F0732E">
        <w:rPr>
          <w:rFonts w:ascii="Cambria" w:hAnsi="Cambria"/>
          <w:spacing w:val="40"/>
          <w:sz w:val="28"/>
          <w:szCs w:val="28"/>
        </w:rPr>
        <w:t xml:space="preserve"> </w:t>
      </w:r>
      <w:r w:rsidRPr="00F0732E">
        <w:rPr>
          <w:rFonts w:ascii="Cambria" w:hAnsi="Cambria"/>
          <w:sz w:val="28"/>
          <w:szCs w:val="28"/>
        </w:rPr>
        <w:t>kvalite</w:t>
      </w:r>
      <w:r w:rsidRPr="00F0732E">
        <w:rPr>
          <w:rFonts w:ascii="Cambria" w:hAnsi="Cambria"/>
          <w:spacing w:val="42"/>
          <w:sz w:val="28"/>
          <w:szCs w:val="28"/>
        </w:rPr>
        <w:t xml:space="preserve"> </w:t>
      </w:r>
      <w:r w:rsidRPr="00F0732E">
        <w:rPr>
          <w:rFonts w:ascii="Cambria" w:hAnsi="Cambria"/>
          <w:sz w:val="28"/>
          <w:szCs w:val="28"/>
        </w:rPr>
        <w:t>vzdelávania</w:t>
      </w:r>
      <w:r w:rsidRPr="00F0732E">
        <w:rPr>
          <w:rFonts w:ascii="Cambria" w:hAnsi="Cambria"/>
          <w:spacing w:val="39"/>
          <w:sz w:val="28"/>
          <w:szCs w:val="28"/>
        </w:rPr>
        <w:t xml:space="preserve"> </w:t>
      </w:r>
      <w:r w:rsidRPr="00F0732E">
        <w:rPr>
          <w:rFonts w:ascii="Cambria" w:hAnsi="Cambria"/>
          <w:sz w:val="28"/>
          <w:szCs w:val="28"/>
        </w:rPr>
        <w:t>a učiteľov,</w:t>
      </w:r>
      <w:r w:rsidRPr="00F0732E">
        <w:rPr>
          <w:rFonts w:ascii="Cambria" w:hAnsi="Cambria"/>
          <w:spacing w:val="41"/>
          <w:sz w:val="28"/>
          <w:szCs w:val="28"/>
        </w:rPr>
        <w:t xml:space="preserve"> </w:t>
      </w:r>
      <w:r w:rsidRPr="00F0732E">
        <w:rPr>
          <w:rFonts w:ascii="Cambria" w:hAnsi="Cambria"/>
          <w:sz w:val="28"/>
          <w:szCs w:val="28"/>
        </w:rPr>
        <w:t>resp.</w:t>
      </w:r>
      <w:r w:rsidRPr="00F0732E">
        <w:rPr>
          <w:rFonts w:ascii="Cambria" w:hAnsi="Cambria"/>
          <w:spacing w:val="40"/>
          <w:sz w:val="28"/>
          <w:szCs w:val="28"/>
        </w:rPr>
        <w:t xml:space="preserve"> </w:t>
      </w:r>
      <w:r w:rsidRPr="00F0732E">
        <w:rPr>
          <w:rFonts w:ascii="Cambria" w:hAnsi="Cambria"/>
          <w:sz w:val="28"/>
          <w:szCs w:val="28"/>
        </w:rPr>
        <w:t>k</w:t>
      </w:r>
      <w:r w:rsidRPr="00F0732E">
        <w:rPr>
          <w:rFonts w:ascii="Cambria" w:hAnsi="Cambria"/>
          <w:spacing w:val="40"/>
          <w:sz w:val="28"/>
          <w:szCs w:val="28"/>
        </w:rPr>
        <w:t xml:space="preserve"> </w:t>
      </w:r>
      <w:r w:rsidRPr="00F0732E">
        <w:rPr>
          <w:rFonts w:ascii="Cambria" w:hAnsi="Cambria"/>
          <w:sz w:val="28"/>
          <w:szCs w:val="28"/>
        </w:rPr>
        <w:t>ostatným</w:t>
      </w:r>
      <w:r w:rsidRPr="00F0732E">
        <w:rPr>
          <w:rFonts w:ascii="Cambria" w:hAnsi="Cambria"/>
          <w:spacing w:val="38"/>
          <w:sz w:val="28"/>
          <w:szCs w:val="28"/>
        </w:rPr>
        <w:t xml:space="preserve"> </w:t>
      </w:r>
      <w:r w:rsidRPr="00F0732E">
        <w:rPr>
          <w:rFonts w:ascii="Cambria" w:hAnsi="Cambria"/>
          <w:sz w:val="28"/>
          <w:szCs w:val="28"/>
        </w:rPr>
        <w:t>záležitostiam štúdia na fakultách prostredníctvom anonymného hodnotenia;</w:t>
      </w:r>
      <w:r w:rsidRPr="00F0732E">
        <w:rPr>
          <w:rFonts w:ascii="Cambria" w:hAnsi="Cambria"/>
          <w:spacing w:val="42"/>
          <w:sz w:val="28"/>
          <w:szCs w:val="28"/>
        </w:rPr>
        <w:t xml:space="preserve"> </w:t>
      </w:r>
      <w:r w:rsidRPr="00F0732E">
        <w:rPr>
          <w:rFonts w:ascii="Cambria" w:hAnsi="Cambria"/>
          <w:sz w:val="28"/>
          <w:szCs w:val="28"/>
        </w:rPr>
        <w:t xml:space="preserve">výsledky anonymných </w:t>
      </w:r>
      <w:r w:rsidR="00447572">
        <w:rPr>
          <w:rFonts w:ascii="Cambria" w:hAnsi="Cambria"/>
          <w:sz w:val="28"/>
          <w:szCs w:val="28"/>
        </w:rPr>
        <w:t xml:space="preserve">hodnotení </w:t>
      </w:r>
      <w:r w:rsidRPr="00F0732E">
        <w:rPr>
          <w:rFonts w:ascii="Cambria" w:hAnsi="Cambria"/>
          <w:sz w:val="28"/>
          <w:szCs w:val="28"/>
        </w:rPr>
        <w:t>sa   na jednotlivých fakultách štatisticky</w:t>
      </w:r>
      <w:r w:rsidRPr="00F0732E">
        <w:rPr>
          <w:rFonts w:ascii="Cambria" w:hAnsi="Cambria"/>
          <w:spacing w:val="50"/>
          <w:sz w:val="28"/>
          <w:szCs w:val="28"/>
        </w:rPr>
        <w:t xml:space="preserve"> </w:t>
      </w:r>
      <w:r w:rsidRPr="00F0732E">
        <w:rPr>
          <w:rFonts w:ascii="Cambria" w:hAnsi="Cambria"/>
          <w:sz w:val="28"/>
          <w:szCs w:val="28"/>
        </w:rPr>
        <w:t>spracovávajú a predkladajú na vedenie</w:t>
      </w:r>
      <w:r w:rsidRPr="00F0732E">
        <w:rPr>
          <w:rFonts w:ascii="Cambria" w:hAnsi="Cambria"/>
          <w:spacing w:val="-1"/>
          <w:sz w:val="28"/>
          <w:szCs w:val="28"/>
        </w:rPr>
        <w:t xml:space="preserve"> </w:t>
      </w:r>
      <w:r w:rsidRPr="00F0732E">
        <w:rPr>
          <w:rFonts w:ascii="Cambria" w:hAnsi="Cambria"/>
          <w:sz w:val="28"/>
          <w:szCs w:val="28"/>
        </w:rPr>
        <w:t>fakulty,</w:t>
      </w:r>
    </w:p>
    <w:p w:rsidR="00B51749" w:rsidRPr="00F0732E" w:rsidRDefault="00B51749" w:rsidP="00B51749">
      <w:pPr>
        <w:pStyle w:val="Odsekzoznamu"/>
        <w:widowControl w:val="0"/>
        <w:numPr>
          <w:ilvl w:val="1"/>
          <w:numId w:val="28"/>
        </w:numPr>
        <w:spacing w:after="0" w:line="240" w:lineRule="auto"/>
        <w:ind w:left="709" w:right="108"/>
        <w:rPr>
          <w:rFonts w:ascii="Cambria" w:hAnsi="Cambria" w:cs="Calibri"/>
          <w:sz w:val="28"/>
          <w:szCs w:val="28"/>
        </w:rPr>
      </w:pPr>
      <w:r w:rsidRPr="00F0732E">
        <w:rPr>
          <w:rFonts w:ascii="Cambria" w:hAnsi="Cambria"/>
          <w:sz w:val="28"/>
          <w:szCs w:val="28"/>
        </w:rPr>
        <w:t>vyjadrením svojich názorov, podnetov, prostredníctvom Black Boxu a</w:t>
      </w:r>
      <w:r w:rsidRPr="00F0732E">
        <w:rPr>
          <w:rFonts w:ascii="Cambria" w:hAnsi="Cambria"/>
          <w:spacing w:val="-17"/>
          <w:sz w:val="28"/>
          <w:szCs w:val="28"/>
        </w:rPr>
        <w:t xml:space="preserve"> </w:t>
      </w:r>
      <w:r w:rsidRPr="00F0732E">
        <w:rPr>
          <w:rFonts w:ascii="Cambria" w:hAnsi="Cambria"/>
          <w:sz w:val="28"/>
          <w:szCs w:val="28"/>
        </w:rPr>
        <w:t>Facebooku (elektronicky cez web stránky); tieto námety sa zbierajú a analyzujú priebežne</w:t>
      </w:r>
      <w:r w:rsidRPr="00F0732E">
        <w:rPr>
          <w:rFonts w:ascii="Cambria" w:hAnsi="Cambria"/>
          <w:spacing w:val="-16"/>
          <w:sz w:val="28"/>
          <w:szCs w:val="28"/>
        </w:rPr>
        <w:t xml:space="preserve"> </w:t>
      </w:r>
      <w:r w:rsidRPr="00F0732E">
        <w:rPr>
          <w:rFonts w:ascii="Cambria" w:hAnsi="Cambria"/>
          <w:sz w:val="28"/>
          <w:szCs w:val="28"/>
        </w:rPr>
        <w:t>počas celého akademického roka a podľa závažnosti sa operatívne</w:t>
      </w:r>
      <w:r w:rsidRPr="00F0732E">
        <w:rPr>
          <w:rFonts w:ascii="Cambria" w:hAnsi="Cambria"/>
          <w:spacing w:val="-7"/>
          <w:sz w:val="28"/>
          <w:szCs w:val="28"/>
        </w:rPr>
        <w:t xml:space="preserve"> </w:t>
      </w:r>
      <w:r w:rsidRPr="00F0732E">
        <w:rPr>
          <w:rFonts w:ascii="Cambria" w:hAnsi="Cambria"/>
          <w:sz w:val="28"/>
          <w:szCs w:val="28"/>
        </w:rPr>
        <w:t>riešia,</w:t>
      </w:r>
    </w:p>
    <w:p w:rsidR="00B51749" w:rsidRPr="00F0732E" w:rsidRDefault="00B51749" w:rsidP="00B51749">
      <w:pPr>
        <w:pStyle w:val="Odsekzoznamu"/>
        <w:widowControl w:val="0"/>
        <w:numPr>
          <w:ilvl w:val="1"/>
          <w:numId w:val="28"/>
        </w:numPr>
        <w:spacing w:before="27" w:after="0" w:line="240" w:lineRule="auto"/>
        <w:ind w:left="709" w:right="112"/>
        <w:rPr>
          <w:rFonts w:ascii="Cambria" w:hAnsi="Cambria" w:cs="Calibri"/>
          <w:sz w:val="28"/>
          <w:szCs w:val="28"/>
        </w:rPr>
      </w:pPr>
      <w:r w:rsidRPr="00F0732E">
        <w:rPr>
          <w:rFonts w:ascii="Cambria" w:hAnsi="Cambria"/>
          <w:sz w:val="28"/>
          <w:szCs w:val="28"/>
        </w:rPr>
        <w:t>podávaním</w:t>
      </w:r>
      <w:r w:rsidRPr="00F0732E">
        <w:rPr>
          <w:rFonts w:ascii="Cambria" w:hAnsi="Cambria"/>
          <w:spacing w:val="44"/>
          <w:sz w:val="28"/>
          <w:szCs w:val="28"/>
        </w:rPr>
        <w:t xml:space="preserve"> </w:t>
      </w:r>
      <w:r w:rsidRPr="00F0732E">
        <w:rPr>
          <w:rFonts w:ascii="Cambria" w:hAnsi="Cambria"/>
          <w:sz w:val="28"/>
          <w:szCs w:val="28"/>
        </w:rPr>
        <w:t>sťažností;</w:t>
      </w:r>
      <w:r w:rsidRPr="00F0732E">
        <w:rPr>
          <w:rFonts w:ascii="Cambria" w:hAnsi="Cambria"/>
          <w:spacing w:val="44"/>
          <w:sz w:val="28"/>
          <w:szCs w:val="28"/>
        </w:rPr>
        <w:t xml:space="preserve"> </w:t>
      </w:r>
      <w:r w:rsidRPr="00F0732E">
        <w:rPr>
          <w:rFonts w:ascii="Cambria" w:hAnsi="Cambria"/>
          <w:sz w:val="28"/>
          <w:szCs w:val="28"/>
        </w:rPr>
        <w:t>pravidlá</w:t>
      </w:r>
      <w:r w:rsidRPr="00F0732E">
        <w:rPr>
          <w:rFonts w:ascii="Cambria" w:hAnsi="Cambria"/>
          <w:spacing w:val="44"/>
          <w:sz w:val="28"/>
          <w:szCs w:val="28"/>
        </w:rPr>
        <w:t xml:space="preserve"> </w:t>
      </w:r>
      <w:r w:rsidRPr="00F0732E">
        <w:rPr>
          <w:rFonts w:ascii="Cambria" w:hAnsi="Cambria"/>
          <w:sz w:val="28"/>
          <w:szCs w:val="28"/>
        </w:rPr>
        <w:t>pre</w:t>
      </w:r>
      <w:r w:rsidRPr="00F0732E">
        <w:rPr>
          <w:rFonts w:ascii="Cambria" w:hAnsi="Cambria"/>
          <w:spacing w:val="44"/>
          <w:sz w:val="28"/>
          <w:szCs w:val="28"/>
        </w:rPr>
        <w:t xml:space="preserve"> </w:t>
      </w:r>
      <w:r w:rsidRPr="00F0732E">
        <w:rPr>
          <w:rFonts w:ascii="Cambria" w:hAnsi="Cambria"/>
          <w:sz w:val="28"/>
          <w:szCs w:val="28"/>
        </w:rPr>
        <w:t>vybavovanie</w:t>
      </w:r>
      <w:r w:rsidRPr="00F0732E">
        <w:rPr>
          <w:rFonts w:ascii="Cambria" w:hAnsi="Cambria"/>
          <w:spacing w:val="44"/>
          <w:sz w:val="28"/>
          <w:szCs w:val="28"/>
        </w:rPr>
        <w:t xml:space="preserve"> </w:t>
      </w:r>
      <w:r w:rsidRPr="00F0732E">
        <w:rPr>
          <w:rFonts w:ascii="Cambria" w:hAnsi="Cambria"/>
          <w:sz w:val="28"/>
          <w:szCs w:val="28"/>
        </w:rPr>
        <w:t>sťažností</w:t>
      </w:r>
      <w:r w:rsidRPr="00F0732E">
        <w:rPr>
          <w:rFonts w:ascii="Cambria" w:hAnsi="Cambria"/>
          <w:spacing w:val="44"/>
          <w:sz w:val="28"/>
          <w:szCs w:val="28"/>
        </w:rPr>
        <w:t xml:space="preserve"> </w:t>
      </w:r>
      <w:r w:rsidRPr="00F0732E">
        <w:rPr>
          <w:rFonts w:ascii="Cambria" w:hAnsi="Cambria"/>
          <w:sz w:val="28"/>
          <w:szCs w:val="28"/>
        </w:rPr>
        <w:t>sú</w:t>
      </w:r>
      <w:r w:rsidRPr="00F0732E">
        <w:rPr>
          <w:rFonts w:ascii="Cambria" w:hAnsi="Cambria"/>
          <w:spacing w:val="45"/>
          <w:sz w:val="28"/>
          <w:szCs w:val="28"/>
        </w:rPr>
        <w:t xml:space="preserve"> </w:t>
      </w:r>
      <w:r w:rsidRPr="00F0732E">
        <w:rPr>
          <w:rFonts w:ascii="Cambria" w:hAnsi="Cambria"/>
          <w:sz w:val="28"/>
          <w:szCs w:val="28"/>
        </w:rPr>
        <w:t>určené</w:t>
      </w:r>
      <w:r w:rsidRPr="00F0732E">
        <w:rPr>
          <w:rFonts w:ascii="Cambria" w:hAnsi="Cambria"/>
          <w:spacing w:val="44"/>
          <w:sz w:val="28"/>
          <w:szCs w:val="28"/>
        </w:rPr>
        <w:t xml:space="preserve"> </w:t>
      </w:r>
      <w:r w:rsidRPr="00F0732E">
        <w:rPr>
          <w:rFonts w:ascii="Cambria" w:hAnsi="Cambria"/>
          <w:sz w:val="28"/>
          <w:szCs w:val="28"/>
        </w:rPr>
        <w:t>vo</w:t>
      </w:r>
      <w:r w:rsidRPr="00F0732E">
        <w:rPr>
          <w:rFonts w:ascii="Cambria" w:hAnsi="Cambria"/>
          <w:spacing w:val="44"/>
          <w:sz w:val="28"/>
          <w:szCs w:val="28"/>
        </w:rPr>
        <w:t xml:space="preserve"> </w:t>
      </w:r>
      <w:r w:rsidRPr="00F0732E">
        <w:rPr>
          <w:rFonts w:ascii="Cambria" w:hAnsi="Cambria"/>
          <w:sz w:val="28"/>
          <w:szCs w:val="28"/>
        </w:rPr>
        <w:t>vnútornej organizačnej a riadiacej norme vydanej</w:t>
      </w:r>
      <w:r w:rsidRPr="00F0732E">
        <w:rPr>
          <w:rFonts w:ascii="Cambria" w:hAnsi="Cambria"/>
          <w:spacing w:val="-5"/>
          <w:sz w:val="28"/>
          <w:szCs w:val="28"/>
        </w:rPr>
        <w:t xml:space="preserve"> </w:t>
      </w:r>
      <w:r w:rsidRPr="00F0732E">
        <w:rPr>
          <w:rFonts w:ascii="Cambria" w:hAnsi="Cambria"/>
          <w:sz w:val="28"/>
          <w:szCs w:val="28"/>
        </w:rPr>
        <w:t>rektorom,</w:t>
      </w:r>
    </w:p>
    <w:p w:rsidR="00B51749" w:rsidRPr="00F0732E" w:rsidRDefault="00B51749" w:rsidP="00B51749">
      <w:pPr>
        <w:pStyle w:val="Odsekzoznamu"/>
        <w:widowControl w:val="0"/>
        <w:numPr>
          <w:ilvl w:val="1"/>
          <w:numId w:val="28"/>
        </w:numPr>
        <w:spacing w:before="7" w:after="0" w:line="240" w:lineRule="auto"/>
        <w:ind w:left="709" w:right="115"/>
        <w:rPr>
          <w:rFonts w:ascii="Cambria" w:hAnsi="Cambria" w:cs="Calibri"/>
          <w:sz w:val="28"/>
          <w:szCs w:val="28"/>
        </w:rPr>
      </w:pPr>
      <w:r w:rsidRPr="00F0732E">
        <w:rPr>
          <w:rFonts w:ascii="Cambria" w:hAnsi="Cambria"/>
          <w:sz w:val="28"/>
          <w:szCs w:val="28"/>
        </w:rPr>
        <w:t>zapájaním študentov STU do prieskumov organizovaných externými,</w:t>
      </w:r>
      <w:r w:rsidRPr="00F0732E">
        <w:rPr>
          <w:rFonts w:ascii="Cambria" w:hAnsi="Cambria"/>
          <w:spacing w:val="22"/>
          <w:sz w:val="28"/>
          <w:szCs w:val="28"/>
        </w:rPr>
        <w:t xml:space="preserve"> </w:t>
      </w:r>
      <w:r w:rsidRPr="00F0732E">
        <w:rPr>
          <w:rFonts w:ascii="Cambria" w:hAnsi="Cambria"/>
          <w:sz w:val="28"/>
          <w:szCs w:val="28"/>
        </w:rPr>
        <w:t>resp. medzinárodnými</w:t>
      </w:r>
      <w:r w:rsidRPr="00F0732E">
        <w:rPr>
          <w:rFonts w:ascii="Cambria" w:hAnsi="Cambria"/>
          <w:spacing w:val="-3"/>
          <w:sz w:val="28"/>
          <w:szCs w:val="28"/>
        </w:rPr>
        <w:t xml:space="preserve"> </w:t>
      </w:r>
      <w:r w:rsidRPr="00F0732E">
        <w:rPr>
          <w:rFonts w:ascii="Cambria" w:hAnsi="Cambria"/>
          <w:sz w:val="28"/>
          <w:szCs w:val="28"/>
        </w:rPr>
        <w:t>organizáciami,</w:t>
      </w:r>
    </w:p>
    <w:p w:rsidR="00B51749" w:rsidRPr="00F0732E" w:rsidRDefault="00B51749" w:rsidP="00B51749">
      <w:pPr>
        <w:pStyle w:val="Odsekzoznamu"/>
        <w:widowControl w:val="0"/>
        <w:numPr>
          <w:ilvl w:val="1"/>
          <w:numId w:val="28"/>
        </w:numPr>
        <w:spacing w:after="0" w:line="240" w:lineRule="auto"/>
        <w:ind w:left="709" w:right="108"/>
        <w:rPr>
          <w:rFonts w:ascii="Cambria" w:hAnsi="Cambria" w:cs="Calibri"/>
          <w:sz w:val="28"/>
          <w:szCs w:val="28"/>
        </w:rPr>
      </w:pPr>
      <w:r w:rsidRPr="00F0732E">
        <w:rPr>
          <w:rFonts w:ascii="Cambria" w:hAnsi="Cambria"/>
          <w:sz w:val="28"/>
          <w:szCs w:val="28"/>
        </w:rPr>
        <w:t>formálnymi aj neformálnymi stretnutiami študentov s riadiacimi</w:t>
      </w:r>
      <w:r w:rsidRPr="00F0732E">
        <w:rPr>
          <w:rFonts w:ascii="Cambria" w:hAnsi="Cambria"/>
          <w:spacing w:val="2"/>
          <w:sz w:val="28"/>
          <w:szCs w:val="28"/>
        </w:rPr>
        <w:t xml:space="preserve"> </w:t>
      </w:r>
      <w:r w:rsidRPr="00F0732E">
        <w:rPr>
          <w:rFonts w:ascii="Cambria" w:hAnsi="Cambria"/>
          <w:sz w:val="28"/>
          <w:szCs w:val="28"/>
        </w:rPr>
        <w:t xml:space="preserve">štruktúrami vzdelávacieho procesu od </w:t>
      </w:r>
      <w:r w:rsidR="00447572">
        <w:rPr>
          <w:rFonts w:ascii="Cambria" w:hAnsi="Cambria"/>
          <w:sz w:val="28"/>
          <w:szCs w:val="28"/>
        </w:rPr>
        <w:t xml:space="preserve">garantov </w:t>
      </w:r>
      <w:r w:rsidRPr="00F0732E">
        <w:rPr>
          <w:rFonts w:ascii="Cambria" w:hAnsi="Cambria"/>
          <w:sz w:val="28"/>
          <w:szCs w:val="28"/>
        </w:rPr>
        <w:t>študijných programov až po vedenia fakúlt a univerzity,</w:t>
      </w:r>
    </w:p>
    <w:p w:rsidR="00B51749" w:rsidRPr="00F0732E" w:rsidRDefault="00B51749" w:rsidP="00B51749">
      <w:pPr>
        <w:pStyle w:val="Odsekzoznamu"/>
        <w:widowControl w:val="0"/>
        <w:numPr>
          <w:ilvl w:val="1"/>
          <w:numId w:val="28"/>
        </w:numPr>
        <w:spacing w:after="0" w:line="240" w:lineRule="auto"/>
        <w:ind w:left="709" w:right="107"/>
        <w:rPr>
          <w:rFonts w:ascii="Cambria" w:hAnsi="Cambria" w:cs="Calibri"/>
          <w:sz w:val="28"/>
          <w:szCs w:val="28"/>
        </w:rPr>
      </w:pPr>
      <w:r w:rsidRPr="00F0732E">
        <w:rPr>
          <w:rFonts w:ascii="Cambria" w:hAnsi="Cambria"/>
          <w:sz w:val="28"/>
          <w:szCs w:val="28"/>
        </w:rPr>
        <w:t>zastúpením študentov v orgánoch akademickej samosprávy, a to v</w:t>
      </w:r>
      <w:r w:rsidRPr="00F0732E">
        <w:rPr>
          <w:rFonts w:ascii="Cambria" w:hAnsi="Cambria"/>
          <w:spacing w:val="-8"/>
          <w:sz w:val="28"/>
          <w:szCs w:val="28"/>
        </w:rPr>
        <w:t xml:space="preserve"> </w:t>
      </w:r>
      <w:r w:rsidRPr="00F0732E">
        <w:rPr>
          <w:rFonts w:ascii="Cambria" w:hAnsi="Cambria"/>
          <w:sz w:val="28"/>
          <w:szCs w:val="28"/>
        </w:rPr>
        <w:t>akademických senátoch</w:t>
      </w:r>
      <w:r w:rsidRPr="00F0732E">
        <w:rPr>
          <w:rFonts w:ascii="Cambria" w:hAnsi="Cambria"/>
          <w:spacing w:val="24"/>
          <w:sz w:val="28"/>
          <w:szCs w:val="28"/>
        </w:rPr>
        <w:t xml:space="preserve"> </w:t>
      </w:r>
      <w:r w:rsidRPr="00F0732E">
        <w:rPr>
          <w:rFonts w:ascii="Cambria" w:hAnsi="Cambria"/>
          <w:sz w:val="28"/>
          <w:szCs w:val="28"/>
        </w:rPr>
        <w:t>fakúlt</w:t>
      </w:r>
      <w:r w:rsidRPr="00F0732E">
        <w:rPr>
          <w:rFonts w:ascii="Cambria" w:hAnsi="Cambria"/>
          <w:spacing w:val="22"/>
          <w:sz w:val="28"/>
          <w:szCs w:val="28"/>
        </w:rPr>
        <w:t xml:space="preserve"> </w:t>
      </w:r>
      <w:r w:rsidRPr="00F0732E">
        <w:rPr>
          <w:rFonts w:ascii="Cambria" w:hAnsi="Cambria"/>
          <w:sz w:val="28"/>
          <w:szCs w:val="28"/>
        </w:rPr>
        <w:t>a</w:t>
      </w:r>
      <w:r w:rsidRPr="00F0732E">
        <w:rPr>
          <w:rFonts w:ascii="Cambria" w:hAnsi="Cambria"/>
          <w:spacing w:val="1"/>
          <w:sz w:val="28"/>
          <w:szCs w:val="28"/>
        </w:rPr>
        <w:t xml:space="preserve"> </w:t>
      </w:r>
      <w:r w:rsidRPr="00F0732E">
        <w:rPr>
          <w:rFonts w:ascii="Cambria" w:hAnsi="Cambria"/>
          <w:sz w:val="28"/>
          <w:szCs w:val="28"/>
        </w:rPr>
        <w:t>v</w:t>
      </w:r>
      <w:r w:rsidRPr="00F0732E">
        <w:rPr>
          <w:rFonts w:ascii="Cambria" w:hAnsi="Cambria"/>
          <w:spacing w:val="-2"/>
          <w:sz w:val="28"/>
          <w:szCs w:val="28"/>
        </w:rPr>
        <w:t xml:space="preserve"> </w:t>
      </w:r>
      <w:r w:rsidRPr="00F0732E">
        <w:rPr>
          <w:rFonts w:ascii="Cambria" w:hAnsi="Cambria"/>
          <w:sz w:val="28"/>
          <w:szCs w:val="28"/>
        </w:rPr>
        <w:t>AS</w:t>
      </w:r>
      <w:r w:rsidRPr="00F0732E">
        <w:rPr>
          <w:rFonts w:ascii="Cambria" w:hAnsi="Cambria"/>
          <w:spacing w:val="22"/>
          <w:sz w:val="28"/>
          <w:szCs w:val="28"/>
        </w:rPr>
        <w:t xml:space="preserve"> </w:t>
      </w:r>
      <w:r w:rsidRPr="00F0732E">
        <w:rPr>
          <w:rFonts w:ascii="Cambria" w:hAnsi="Cambria"/>
          <w:sz w:val="28"/>
          <w:szCs w:val="28"/>
        </w:rPr>
        <w:t>STU</w:t>
      </w:r>
      <w:r w:rsidRPr="00F0732E">
        <w:rPr>
          <w:rFonts w:ascii="Cambria" w:hAnsi="Cambria"/>
          <w:spacing w:val="24"/>
          <w:sz w:val="28"/>
          <w:szCs w:val="28"/>
        </w:rPr>
        <w:t xml:space="preserve"> </w:t>
      </w:r>
      <w:r w:rsidRPr="00F0732E">
        <w:rPr>
          <w:rFonts w:ascii="Cambria" w:hAnsi="Cambria"/>
          <w:sz w:val="28"/>
          <w:szCs w:val="28"/>
        </w:rPr>
        <w:t>a</w:t>
      </w:r>
      <w:r w:rsidRPr="00F0732E">
        <w:rPr>
          <w:rFonts w:ascii="Cambria" w:hAnsi="Cambria"/>
          <w:spacing w:val="-1"/>
          <w:sz w:val="28"/>
          <w:szCs w:val="28"/>
        </w:rPr>
        <w:t xml:space="preserve"> </w:t>
      </w:r>
      <w:r w:rsidRPr="00F0732E">
        <w:rPr>
          <w:rFonts w:ascii="Cambria" w:hAnsi="Cambria"/>
          <w:sz w:val="28"/>
          <w:szCs w:val="28"/>
        </w:rPr>
        <w:t>disciplinárnych</w:t>
      </w:r>
      <w:r w:rsidRPr="00F0732E">
        <w:rPr>
          <w:rFonts w:ascii="Cambria" w:hAnsi="Cambria"/>
          <w:spacing w:val="24"/>
          <w:sz w:val="28"/>
          <w:szCs w:val="28"/>
        </w:rPr>
        <w:t xml:space="preserve"> </w:t>
      </w:r>
      <w:r w:rsidRPr="00F0732E">
        <w:rPr>
          <w:rFonts w:ascii="Cambria" w:hAnsi="Cambria"/>
          <w:sz w:val="28"/>
          <w:szCs w:val="28"/>
        </w:rPr>
        <w:t>komisiách</w:t>
      </w:r>
      <w:r w:rsidRPr="00F0732E">
        <w:rPr>
          <w:rFonts w:ascii="Cambria" w:hAnsi="Cambria"/>
          <w:spacing w:val="24"/>
          <w:sz w:val="28"/>
          <w:szCs w:val="28"/>
        </w:rPr>
        <w:t xml:space="preserve"> </w:t>
      </w:r>
      <w:r w:rsidRPr="00F0732E">
        <w:rPr>
          <w:rFonts w:ascii="Cambria" w:hAnsi="Cambria"/>
          <w:sz w:val="28"/>
          <w:szCs w:val="28"/>
        </w:rPr>
        <w:t>fakúlt</w:t>
      </w:r>
      <w:r w:rsidRPr="00F0732E">
        <w:rPr>
          <w:rFonts w:ascii="Cambria" w:hAnsi="Cambria"/>
          <w:spacing w:val="28"/>
          <w:sz w:val="28"/>
          <w:szCs w:val="28"/>
        </w:rPr>
        <w:t xml:space="preserve"> </w:t>
      </w:r>
      <w:r w:rsidRPr="00F0732E">
        <w:rPr>
          <w:rFonts w:ascii="Cambria" w:hAnsi="Cambria"/>
          <w:sz w:val="28"/>
          <w:szCs w:val="28"/>
        </w:rPr>
        <w:t>STU</w:t>
      </w:r>
      <w:r w:rsidRPr="00F0732E">
        <w:rPr>
          <w:rFonts w:ascii="Cambria" w:hAnsi="Cambria"/>
          <w:spacing w:val="24"/>
          <w:sz w:val="28"/>
          <w:szCs w:val="28"/>
        </w:rPr>
        <w:t xml:space="preserve"> </w:t>
      </w:r>
      <w:r w:rsidRPr="00F0732E">
        <w:rPr>
          <w:rFonts w:ascii="Cambria" w:hAnsi="Cambria"/>
          <w:sz w:val="28"/>
          <w:szCs w:val="28"/>
        </w:rPr>
        <w:t>a</w:t>
      </w:r>
      <w:r w:rsidRPr="00F0732E">
        <w:rPr>
          <w:rFonts w:ascii="Cambria" w:hAnsi="Cambria"/>
          <w:spacing w:val="-1"/>
          <w:sz w:val="28"/>
          <w:szCs w:val="28"/>
        </w:rPr>
        <w:t xml:space="preserve"> </w:t>
      </w:r>
      <w:r w:rsidRPr="00F0732E">
        <w:rPr>
          <w:rFonts w:ascii="Cambria" w:hAnsi="Cambria"/>
          <w:sz w:val="28"/>
          <w:szCs w:val="28"/>
        </w:rPr>
        <w:t>v</w:t>
      </w:r>
      <w:r w:rsidRPr="00F0732E">
        <w:rPr>
          <w:rFonts w:ascii="Cambria" w:hAnsi="Cambria"/>
          <w:spacing w:val="-4"/>
          <w:sz w:val="28"/>
          <w:szCs w:val="28"/>
        </w:rPr>
        <w:t xml:space="preserve"> </w:t>
      </w:r>
      <w:r w:rsidRPr="00F0732E">
        <w:rPr>
          <w:rFonts w:ascii="Cambria" w:hAnsi="Cambria"/>
          <w:sz w:val="28"/>
          <w:szCs w:val="28"/>
        </w:rPr>
        <w:t>disciplinárnej komisii STU a účasťou na rokovaniach kolégií dekana a kolégiu rektora, vedení</w:t>
      </w:r>
      <w:r w:rsidRPr="00F0732E">
        <w:rPr>
          <w:rFonts w:ascii="Cambria" w:hAnsi="Cambria"/>
          <w:spacing w:val="1"/>
          <w:sz w:val="28"/>
          <w:szCs w:val="28"/>
        </w:rPr>
        <w:t xml:space="preserve"> </w:t>
      </w:r>
      <w:r w:rsidRPr="00F0732E">
        <w:rPr>
          <w:rFonts w:ascii="Cambria" w:hAnsi="Cambria"/>
          <w:sz w:val="28"/>
          <w:szCs w:val="28"/>
        </w:rPr>
        <w:t>fakúlt a vedení STU a vedeckých rád fakúlt a Vedeckej rade</w:t>
      </w:r>
      <w:r w:rsidRPr="00F0732E">
        <w:rPr>
          <w:rFonts w:ascii="Cambria" w:hAnsi="Cambria"/>
          <w:spacing w:val="2"/>
          <w:sz w:val="28"/>
          <w:szCs w:val="28"/>
        </w:rPr>
        <w:t xml:space="preserve"> </w:t>
      </w:r>
      <w:r w:rsidRPr="00F0732E">
        <w:rPr>
          <w:rFonts w:ascii="Cambria" w:hAnsi="Cambria"/>
          <w:sz w:val="28"/>
          <w:szCs w:val="28"/>
        </w:rPr>
        <w:t>STU,</w:t>
      </w:r>
    </w:p>
    <w:p w:rsidR="00B51749" w:rsidRPr="00F0732E" w:rsidRDefault="00B51749" w:rsidP="00B51749">
      <w:pPr>
        <w:pStyle w:val="Odsekzoznamu"/>
        <w:widowControl w:val="0"/>
        <w:numPr>
          <w:ilvl w:val="1"/>
          <w:numId w:val="28"/>
        </w:numPr>
        <w:spacing w:after="0" w:line="240" w:lineRule="auto"/>
        <w:ind w:left="709" w:right="108"/>
        <w:rPr>
          <w:rFonts w:ascii="Cambria" w:hAnsi="Cambria" w:cs="Calibri"/>
          <w:sz w:val="28"/>
          <w:szCs w:val="28"/>
        </w:rPr>
      </w:pPr>
      <w:r w:rsidRPr="00F0732E">
        <w:rPr>
          <w:rFonts w:ascii="Cambria" w:hAnsi="Cambria"/>
          <w:sz w:val="28"/>
          <w:szCs w:val="28"/>
        </w:rPr>
        <w:t>podieľaním sa na príprave, prerokúvaní a schvaľovaní materiálov a</w:t>
      </w:r>
      <w:r w:rsidRPr="00F0732E">
        <w:rPr>
          <w:rFonts w:ascii="Cambria" w:hAnsi="Cambria"/>
          <w:spacing w:val="-29"/>
          <w:sz w:val="28"/>
          <w:szCs w:val="28"/>
        </w:rPr>
        <w:t xml:space="preserve"> </w:t>
      </w:r>
      <w:r w:rsidRPr="00F0732E">
        <w:rPr>
          <w:rFonts w:ascii="Cambria" w:hAnsi="Cambria"/>
          <w:sz w:val="28"/>
          <w:szCs w:val="28"/>
        </w:rPr>
        <w:t>vnútorných predpisov v oblasti vzdelávania,</w:t>
      </w:r>
    </w:p>
    <w:p w:rsidR="00B51749" w:rsidRPr="00F0732E" w:rsidRDefault="00B51749" w:rsidP="00B51749">
      <w:pPr>
        <w:pStyle w:val="Odsekzoznamu"/>
        <w:widowControl w:val="0"/>
        <w:numPr>
          <w:ilvl w:val="1"/>
          <w:numId w:val="28"/>
        </w:numPr>
        <w:spacing w:after="0" w:line="240" w:lineRule="auto"/>
        <w:ind w:left="709" w:right="115"/>
        <w:rPr>
          <w:rFonts w:ascii="Cambria" w:hAnsi="Cambria" w:cs="Calibri"/>
          <w:sz w:val="28"/>
          <w:szCs w:val="28"/>
        </w:rPr>
      </w:pPr>
      <w:r w:rsidRPr="00F0732E">
        <w:rPr>
          <w:rFonts w:ascii="Cambria" w:hAnsi="Cambria"/>
          <w:sz w:val="28"/>
          <w:szCs w:val="28"/>
        </w:rPr>
        <w:t>vzájomným podporovaním sa študentov, predovšetkým formou</w:t>
      </w:r>
      <w:r w:rsidRPr="00F0732E">
        <w:rPr>
          <w:rFonts w:ascii="Cambria" w:hAnsi="Cambria"/>
          <w:spacing w:val="44"/>
          <w:sz w:val="28"/>
          <w:szCs w:val="28"/>
        </w:rPr>
        <w:t xml:space="preserve"> </w:t>
      </w:r>
      <w:r w:rsidRPr="00F0732E">
        <w:rPr>
          <w:rFonts w:ascii="Cambria" w:hAnsi="Cambria"/>
          <w:sz w:val="28"/>
          <w:szCs w:val="28"/>
        </w:rPr>
        <w:t xml:space="preserve">doučovania organizovaným prostredníctvom </w:t>
      </w:r>
      <w:r w:rsidRPr="00F0732E">
        <w:rPr>
          <w:rFonts w:ascii="Cambria" w:hAnsi="Cambria"/>
          <w:sz w:val="28"/>
          <w:szCs w:val="28"/>
        </w:rPr>
        <w:lastRenderedPageBreak/>
        <w:t>študentského</w:t>
      </w:r>
      <w:r w:rsidRPr="00F0732E">
        <w:rPr>
          <w:rFonts w:ascii="Cambria" w:hAnsi="Cambria"/>
          <w:spacing w:val="-3"/>
          <w:sz w:val="28"/>
          <w:szCs w:val="28"/>
        </w:rPr>
        <w:t xml:space="preserve"> </w:t>
      </w:r>
      <w:r w:rsidRPr="00F0732E">
        <w:rPr>
          <w:rFonts w:ascii="Cambria" w:hAnsi="Cambria"/>
          <w:sz w:val="28"/>
          <w:szCs w:val="28"/>
        </w:rPr>
        <w:t>koučingu.</w:t>
      </w:r>
    </w:p>
    <w:p w:rsidR="00B51749" w:rsidRPr="00F0732E" w:rsidRDefault="00B51749" w:rsidP="00B51749">
      <w:pPr>
        <w:rPr>
          <w:rFonts w:cs="Calibri"/>
          <w:sz w:val="28"/>
          <w:szCs w:val="28"/>
        </w:rPr>
      </w:pPr>
    </w:p>
    <w:p w:rsidR="00B51749" w:rsidRPr="00F0732E" w:rsidRDefault="00B51749" w:rsidP="00B51749">
      <w:pPr>
        <w:rPr>
          <w:rFonts w:cs="Calibri"/>
          <w:sz w:val="28"/>
          <w:szCs w:val="28"/>
        </w:rPr>
      </w:pPr>
      <w:r w:rsidRPr="00F0732E">
        <w:rPr>
          <w:rFonts w:cs="Calibri"/>
          <w:sz w:val="28"/>
          <w:szCs w:val="28"/>
        </w:rPr>
        <w:t xml:space="preserve">Výsledky riadiacej a kontrolnej činnosti vzdelávacieho procesu sú prerokovávané na zasadnutiach riadiacich grémií fakúlt (vedenie fakulty, kolégium dekana, vedecké rady). Kontrolná činnosť je na fakultách/univerzite zabezpečovaná aj prostredníctvom akademických senátov fakúlt, resp. univerzity. </w:t>
      </w:r>
    </w:p>
    <w:p w:rsidR="00B51749" w:rsidRPr="00F0732E" w:rsidRDefault="00B51749" w:rsidP="00B51749">
      <w:pPr>
        <w:rPr>
          <w:rFonts w:cs="Calibri"/>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74" w:name="_Toc413009370"/>
      <w:r w:rsidRPr="00F0732E">
        <w:rPr>
          <w:rFonts w:ascii="Cambria" w:hAnsi="Cambria"/>
          <w:color w:val="auto"/>
        </w:rPr>
        <w:t>Hodnotenie vzdelávania študentmi</w:t>
      </w:r>
      <w:bookmarkEnd w:id="74"/>
    </w:p>
    <w:p w:rsidR="00B51749" w:rsidRPr="00F0732E" w:rsidRDefault="00B51749" w:rsidP="00B51749">
      <w:pPr>
        <w:rPr>
          <w:rFonts w:cs="Calibri"/>
          <w:sz w:val="28"/>
          <w:szCs w:val="28"/>
        </w:rPr>
      </w:pPr>
      <w:r w:rsidRPr="00F0732E">
        <w:rPr>
          <w:rFonts w:cs="Calibri"/>
          <w:sz w:val="28"/>
          <w:szCs w:val="28"/>
        </w:rPr>
        <w:t>V súlade s § 70 ods. 1 písm. h) zákona majú študenti STU právo formou anonymného dotazníka vyjadriť sa o kvalite výučby a učiteľoch hneď viackrát.</w:t>
      </w:r>
    </w:p>
    <w:p w:rsidR="00B51749" w:rsidRPr="00F0732E" w:rsidRDefault="00B51749" w:rsidP="00B51749">
      <w:pPr>
        <w:rPr>
          <w:rFonts w:cs="Calibri"/>
          <w:sz w:val="28"/>
          <w:szCs w:val="28"/>
        </w:rPr>
      </w:pPr>
      <w:r w:rsidRPr="00F0732E">
        <w:rPr>
          <w:rFonts w:cs="Calibri"/>
          <w:sz w:val="28"/>
          <w:szCs w:val="28"/>
        </w:rPr>
        <w:t>Toto právo môžu študenti STU využiť prostredníctvom dotazníkov (v elektronickej forme, najčastejšie prostredníctvom AIS alebo v predtlačenej forme), v ktorých sa sledovala spokojnosť študentov celkovo so štúdiom počas akademického roka, resp. semestra. V týchto dotazníkoch sa väčšinou monitorujú názory na obsah učiva, metódy štúdia, úroveň využívania didaktických pomôcok, zabezpečenie študijnou literatúrou, spokojnosť s prácou študijných oddelení, spokojnosť s učiteľmi, vzťah a lojalitu k fakulte a</w:t>
      </w:r>
      <w:r w:rsidR="00BF1BAC">
        <w:rPr>
          <w:rFonts w:cs="Calibri"/>
          <w:sz w:val="28"/>
          <w:szCs w:val="28"/>
        </w:rPr>
        <w:t xml:space="preserve"> </w:t>
      </w:r>
      <w:r w:rsidRPr="00F0732E">
        <w:rPr>
          <w:rFonts w:cs="Calibri"/>
          <w:sz w:val="28"/>
          <w:szCs w:val="28"/>
        </w:rPr>
        <w:t>pod.</w:t>
      </w:r>
    </w:p>
    <w:p w:rsidR="00B51749" w:rsidRPr="00F0732E" w:rsidRDefault="00B51749" w:rsidP="00B51749">
      <w:pPr>
        <w:rPr>
          <w:rFonts w:cs="Calibri"/>
          <w:sz w:val="28"/>
          <w:szCs w:val="28"/>
        </w:rPr>
      </w:pPr>
      <w:r w:rsidRPr="00F0732E">
        <w:rPr>
          <w:rFonts w:cs="Calibri"/>
          <w:sz w:val="28"/>
          <w:szCs w:val="28"/>
        </w:rPr>
        <w:t xml:space="preserve">Okrem toho majú študenti možnosť vyjadrovať sa ku kvalite výučby jednotlivých predmetov a učiteľov samostatne, opäť pomocou dotazníka v AIS. </w:t>
      </w:r>
    </w:p>
    <w:p w:rsidR="00B51749" w:rsidRPr="00F0732E" w:rsidRDefault="00B51749" w:rsidP="00B51749">
      <w:pPr>
        <w:rPr>
          <w:rFonts w:cs="Calibri"/>
          <w:sz w:val="28"/>
          <w:szCs w:val="28"/>
        </w:rPr>
      </w:pPr>
      <w:r w:rsidRPr="00F0732E">
        <w:rPr>
          <w:rFonts w:cs="Calibri"/>
          <w:sz w:val="28"/>
          <w:szCs w:val="28"/>
        </w:rPr>
        <w:t xml:space="preserve">Uvedené možnosti sa na fakultách z časového hľadiska využíva rôzne. Na niektorých sa vyhodnocujú po každom semestri, na niektorých raz za akademický rok. </w:t>
      </w:r>
    </w:p>
    <w:p w:rsidR="00B51749" w:rsidRPr="00F0732E" w:rsidRDefault="00B51749" w:rsidP="00B51749">
      <w:pPr>
        <w:rPr>
          <w:rFonts w:cs="Calibri"/>
          <w:sz w:val="28"/>
          <w:szCs w:val="28"/>
        </w:rPr>
      </w:pPr>
      <w:r w:rsidRPr="00F0732E">
        <w:rPr>
          <w:rFonts w:cs="Calibri"/>
          <w:sz w:val="28"/>
          <w:szCs w:val="28"/>
        </w:rPr>
        <w:t xml:space="preserve">Nie je zriedkavosťou aj aktivita jednotlivých učiteľov </w:t>
      </w:r>
      <w:r w:rsidR="00BF1BAC">
        <w:rPr>
          <w:rFonts w:cs="Calibri"/>
          <w:sz w:val="28"/>
          <w:szCs w:val="28"/>
        </w:rPr>
        <w:t xml:space="preserve">a záujem </w:t>
      </w:r>
      <w:r w:rsidRPr="00F0732E">
        <w:rPr>
          <w:rFonts w:cs="Calibri"/>
          <w:sz w:val="28"/>
          <w:szCs w:val="28"/>
        </w:rPr>
        <w:t>o stručnú spätnú väzbu od študentov pomocou vlastných dotazníkov.</w:t>
      </w:r>
    </w:p>
    <w:p w:rsidR="00B51749" w:rsidRPr="00F0732E" w:rsidRDefault="00B51749" w:rsidP="00B51749">
      <w:pPr>
        <w:rPr>
          <w:rFonts w:cs="Calibri"/>
          <w:sz w:val="28"/>
          <w:szCs w:val="28"/>
        </w:rPr>
      </w:pPr>
      <w:r w:rsidRPr="00F0732E">
        <w:rPr>
          <w:rFonts w:cs="Calibri"/>
          <w:sz w:val="28"/>
          <w:szCs w:val="28"/>
        </w:rPr>
        <w:t xml:space="preserve">Študenti majú navyše možnosť vyjadriť sa ku kvalite vzdelávania a učiteľov, resp. ostatným záležitostiam štúdia na fakultách aj prostredníctvom anonymného Black Boxu (elektronicky cez web stránky). Tieto námety sa zbierajú a analyzujú priebežne počas celého akademického roka a podľa závažnosti sa operatívne riešia vo vedeniach fakúlt. </w:t>
      </w:r>
    </w:p>
    <w:p w:rsidR="00B51749" w:rsidRPr="00F0732E" w:rsidRDefault="00B51749" w:rsidP="00B51749">
      <w:pPr>
        <w:rPr>
          <w:rFonts w:cs="Calibri"/>
          <w:sz w:val="28"/>
          <w:szCs w:val="28"/>
        </w:rPr>
      </w:pPr>
      <w:r w:rsidRPr="00F0732E">
        <w:rPr>
          <w:rFonts w:cs="Calibri"/>
          <w:sz w:val="28"/>
          <w:szCs w:val="28"/>
        </w:rPr>
        <w:t>Možnosť zapojiť sa do uvedených aktivít je daná študentom na všetkých troch stupňoch štúdia.</w:t>
      </w:r>
    </w:p>
    <w:p w:rsidR="00B51749" w:rsidRPr="00F0732E" w:rsidRDefault="00B51749" w:rsidP="00B51749">
      <w:pPr>
        <w:rPr>
          <w:rFonts w:cs="Calibri"/>
          <w:sz w:val="28"/>
          <w:szCs w:val="28"/>
        </w:rPr>
      </w:pPr>
      <w:r w:rsidRPr="00F0732E">
        <w:rPr>
          <w:rFonts w:cs="Calibri"/>
          <w:sz w:val="28"/>
          <w:szCs w:val="28"/>
        </w:rPr>
        <w:lastRenderedPageBreak/>
        <w:t>Využívanie AIS na dotazníkové ankety študentov možno hodnotiť pozitívne, hlavne z hľadiska jednoduchosti monitorovania a vyhodnocovania ankiet.</w:t>
      </w:r>
    </w:p>
    <w:p w:rsidR="00B51749" w:rsidRPr="00F0732E" w:rsidRDefault="00B51749" w:rsidP="00B51749">
      <w:pPr>
        <w:rPr>
          <w:rFonts w:cs="Calibri"/>
          <w:sz w:val="28"/>
          <w:szCs w:val="28"/>
        </w:rPr>
      </w:pPr>
      <w:r w:rsidRPr="00F0732E">
        <w:rPr>
          <w:rFonts w:cs="Calibri"/>
          <w:sz w:val="28"/>
          <w:szCs w:val="28"/>
        </w:rPr>
        <w:t>Vážnym a už dlhodobým negatívom je nízke zapojenie sa študentov do ankiet, ktorá sa na väčšine fakúlt v priemere pohybuje na úrovni 10</w:t>
      </w:r>
      <w:r w:rsidR="00BF1BAC">
        <w:rPr>
          <w:rFonts w:cs="Calibri"/>
          <w:sz w:val="28"/>
          <w:szCs w:val="28"/>
        </w:rPr>
        <w:t xml:space="preserve"> </w:t>
      </w:r>
      <w:r w:rsidRPr="00F0732E">
        <w:rPr>
          <w:rFonts w:cs="Calibri"/>
          <w:sz w:val="28"/>
          <w:szCs w:val="28"/>
        </w:rPr>
        <w:t>%</w:t>
      </w:r>
      <w:r w:rsidR="00BF1BAC">
        <w:rPr>
          <w:rFonts w:cs="Calibri"/>
          <w:sz w:val="28"/>
          <w:szCs w:val="28"/>
        </w:rPr>
        <w:t>,</w:t>
      </w:r>
      <w:r w:rsidRPr="00F0732E">
        <w:rPr>
          <w:rFonts w:cs="Calibri"/>
          <w:sz w:val="28"/>
          <w:szCs w:val="28"/>
        </w:rPr>
        <w:t xml:space="preserve"> a to aj napriek tomu, že študenti sú na fakultách viackrát a rozličným spôsobom vyzývaní na zapojenie sa do ankety. Pozitívne možno hodnotiť nárast účasti študentov na ankete na SvF </w:t>
      </w:r>
      <w:r w:rsidRPr="00F0732E">
        <w:rPr>
          <w:rFonts w:cs="Calibri"/>
          <w:b/>
          <w:sz w:val="28"/>
          <w:szCs w:val="28"/>
        </w:rPr>
        <w:t>(nárast zo 7</w:t>
      </w:r>
      <w:r w:rsidR="00BF1BAC">
        <w:rPr>
          <w:rFonts w:cs="Calibri"/>
          <w:b/>
          <w:sz w:val="28"/>
          <w:szCs w:val="28"/>
        </w:rPr>
        <w:t xml:space="preserve"> </w:t>
      </w:r>
      <w:r w:rsidRPr="00F0732E">
        <w:rPr>
          <w:rFonts w:cs="Calibri"/>
          <w:b/>
          <w:sz w:val="28"/>
          <w:szCs w:val="28"/>
        </w:rPr>
        <w:t>% na 44</w:t>
      </w:r>
      <w:r w:rsidR="00BF1BAC">
        <w:rPr>
          <w:rFonts w:cs="Calibri"/>
          <w:b/>
          <w:sz w:val="28"/>
          <w:szCs w:val="28"/>
        </w:rPr>
        <w:t xml:space="preserve"> </w:t>
      </w:r>
      <w:r w:rsidRPr="00F0732E">
        <w:rPr>
          <w:rFonts w:cs="Calibri"/>
          <w:b/>
          <w:sz w:val="28"/>
          <w:szCs w:val="28"/>
        </w:rPr>
        <w:t>%,),</w:t>
      </w:r>
      <w:r w:rsidRPr="00F0732E">
        <w:rPr>
          <w:rFonts w:cs="Calibri"/>
          <w:sz w:val="28"/>
          <w:szCs w:val="28"/>
        </w:rPr>
        <w:t xml:space="preserve"> ktor</w:t>
      </w:r>
      <w:r w:rsidR="00BF1BAC">
        <w:rPr>
          <w:rFonts w:cs="Calibri"/>
          <w:sz w:val="28"/>
          <w:szCs w:val="28"/>
        </w:rPr>
        <w:t>ý je</w:t>
      </w:r>
      <w:r w:rsidRPr="00F0732E">
        <w:rPr>
          <w:rFonts w:cs="Calibri"/>
          <w:sz w:val="28"/>
          <w:szCs w:val="28"/>
        </w:rPr>
        <w:t xml:space="preserve"> výsledkom zavedenia viacerých motivačných opatrení na fakulte. Vysoká účasť študentov na ankete (</w:t>
      </w:r>
      <w:r w:rsidRPr="00F0732E">
        <w:rPr>
          <w:rFonts w:cs="Calibri"/>
          <w:b/>
          <w:sz w:val="28"/>
          <w:szCs w:val="28"/>
        </w:rPr>
        <w:t>viac ako 90</w:t>
      </w:r>
      <w:r w:rsidR="00BF1BAC">
        <w:rPr>
          <w:rFonts w:cs="Calibri"/>
          <w:b/>
          <w:sz w:val="28"/>
          <w:szCs w:val="28"/>
        </w:rPr>
        <w:t xml:space="preserve"> </w:t>
      </w:r>
      <w:r w:rsidRPr="00F0732E">
        <w:rPr>
          <w:rFonts w:cs="Calibri"/>
          <w:b/>
          <w:sz w:val="28"/>
          <w:szCs w:val="28"/>
        </w:rPr>
        <w:t>%)</w:t>
      </w:r>
      <w:r w:rsidRPr="00F0732E">
        <w:rPr>
          <w:rFonts w:cs="Calibri"/>
          <w:sz w:val="28"/>
          <w:szCs w:val="28"/>
        </w:rPr>
        <w:t xml:space="preserve"> je na FCHPT, kde je anketa súčasťou zápisu študentov do vyššieho ročníka.</w:t>
      </w:r>
    </w:p>
    <w:p w:rsidR="00B51749" w:rsidRPr="00F0732E" w:rsidRDefault="00B51749" w:rsidP="00B51749">
      <w:pPr>
        <w:rPr>
          <w:rFonts w:cs="Calibri"/>
          <w:sz w:val="28"/>
          <w:szCs w:val="28"/>
        </w:rPr>
      </w:pPr>
      <w:r w:rsidRPr="00F0732E">
        <w:rPr>
          <w:rFonts w:cs="Calibri"/>
          <w:sz w:val="28"/>
          <w:szCs w:val="28"/>
        </w:rPr>
        <w:t>Vedeni</w:t>
      </w:r>
      <w:r w:rsidR="00BF1BAC">
        <w:rPr>
          <w:rFonts w:cs="Calibri"/>
          <w:sz w:val="28"/>
          <w:szCs w:val="28"/>
        </w:rPr>
        <w:t>a</w:t>
      </w:r>
      <w:r w:rsidRPr="00F0732E">
        <w:rPr>
          <w:rFonts w:cs="Calibri"/>
          <w:sz w:val="28"/>
          <w:szCs w:val="28"/>
        </w:rPr>
        <w:t xml:space="preserve"> fakúlt primerane informujú študentov o výsledkoch ankety a o prijímaní nápravných opatrení.</w:t>
      </w:r>
    </w:p>
    <w:p w:rsidR="00B51749" w:rsidRPr="00F0732E" w:rsidRDefault="00B51749" w:rsidP="00B51749">
      <w:pPr>
        <w:rPr>
          <w:rFonts w:cs="Calibri"/>
          <w:sz w:val="28"/>
          <w:szCs w:val="28"/>
        </w:rPr>
      </w:pPr>
      <w:r w:rsidRPr="00F0732E">
        <w:rPr>
          <w:rFonts w:cs="Calibri"/>
          <w:sz w:val="28"/>
          <w:szCs w:val="28"/>
        </w:rPr>
        <w:t xml:space="preserve">V tejto súvislosti treba ale spomenúť, že vyjadrovanie sa študentov ku kvalite výučby a učiteľov dotazníkovou formou, nie je ich jediná možnosť uplatniť svoj názor. Študenti majú zákonom dané zastúpenie v akademickom senáte, stretávajú sa formálne aj neformálne s riadiacimi štruktúrami vzdelávacieho procesu od garantov študijných programov až po vedenia fakúlt a univerzity. </w:t>
      </w:r>
    </w:p>
    <w:p w:rsidR="00B51749" w:rsidRPr="00F0732E" w:rsidRDefault="00B51749" w:rsidP="00B51749">
      <w:pPr>
        <w:rPr>
          <w:color w:val="FF0000"/>
          <w:sz w:val="28"/>
          <w:szCs w:val="28"/>
          <w:lang w:eastAsia="cs-CZ"/>
        </w:rPr>
      </w:pPr>
    </w:p>
    <w:p w:rsidR="00B51749" w:rsidRPr="00F0732E" w:rsidRDefault="00B51749" w:rsidP="00B51749">
      <w:pPr>
        <w:pStyle w:val="Nadpis2"/>
        <w:rPr>
          <w:rFonts w:ascii="Cambria" w:hAnsi="Cambria"/>
          <w:color w:val="auto"/>
        </w:rPr>
      </w:pPr>
      <w:bookmarkStart w:id="75" w:name="_Toc413009371"/>
      <w:r w:rsidRPr="00F0732E">
        <w:rPr>
          <w:rFonts w:ascii="Cambria" w:hAnsi="Cambria"/>
          <w:color w:val="auto"/>
        </w:rPr>
        <w:t>Kvantitatívne vyhodnotenie zabezpečovania kvality vzdelávania</w:t>
      </w:r>
      <w:bookmarkEnd w:id="75"/>
    </w:p>
    <w:p w:rsidR="00B51749" w:rsidRPr="00F0732E" w:rsidRDefault="00B51749" w:rsidP="00B51749">
      <w:pPr>
        <w:rPr>
          <w:color w:val="FF0000"/>
          <w:sz w:val="28"/>
          <w:szCs w:val="28"/>
          <w:lang w:eastAsia="cs-CZ"/>
        </w:rPr>
      </w:pPr>
    </w:p>
    <w:p w:rsidR="00B51749" w:rsidRPr="00F0732E" w:rsidRDefault="00B51749" w:rsidP="00B51749">
      <w:pPr>
        <w:rPr>
          <w:rFonts w:cs="Calibri"/>
          <w:sz w:val="28"/>
          <w:szCs w:val="28"/>
        </w:rPr>
      </w:pPr>
      <w:r w:rsidRPr="00F0732E">
        <w:rPr>
          <w:rFonts w:cs="Calibri"/>
          <w:sz w:val="28"/>
          <w:szCs w:val="28"/>
        </w:rPr>
        <w:t xml:space="preserve">Výsledky vzdelávacieho procesu možno hodnotiť z viacerých hľadísk. Jedno z hľadísk je posudzovanie študijných výsledkov študentov dosiahnutých v priebehu semestrov, resp. v danom akademickom roku. </w:t>
      </w:r>
    </w:p>
    <w:p w:rsidR="00B51749" w:rsidRPr="00F0732E" w:rsidRDefault="00B51749" w:rsidP="00B51749">
      <w:pPr>
        <w:rPr>
          <w:rFonts w:cs="Calibri"/>
          <w:sz w:val="28"/>
          <w:szCs w:val="28"/>
        </w:rPr>
      </w:pPr>
      <w:r w:rsidRPr="00F0732E">
        <w:rPr>
          <w:rFonts w:cs="Calibri"/>
          <w:sz w:val="28"/>
          <w:szCs w:val="28"/>
        </w:rPr>
        <w:t xml:space="preserve">Na druhej strane vysokoškolské vzdelávanie možno chápať ako proces, ktorého výsledný produkt </w:t>
      </w:r>
      <w:r w:rsidR="00BF1BAC">
        <w:rPr>
          <w:rFonts w:cs="Calibri"/>
          <w:sz w:val="28"/>
          <w:szCs w:val="28"/>
        </w:rPr>
        <w:t xml:space="preserve">je absolvent. Potom hodnotenie </w:t>
      </w:r>
      <w:r w:rsidRPr="00F0732E">
        <w:rPr>
          <w:rFonts w:cs="Calibri"/>
          <w:sz w:val="28"/>
          <w:szCs w:val="28"/>
        </w:rPr>
        <w:t>kvalit</w:t>
      </w:r>
      <w:r w:rsidR="00BF1BAC">
        <w:rPr>
          <w:rFonts w:cs="Calibri"/>
          <w:sz w:val="28"/>
          <w:szCs w:val="28"/>
        </w:rPr>
        <w:t>y</w:t>
      </w:r>
      <w:r w:rsidRPr="00F0732E">
        <w:rPr>
          <w:rFonts w:cs="Calibri"/>
          <w:sz w:val="28"/>
          <w:szCs w:val="28"/>
        </w:rPr>
        <w:t xml:space="preserve"> vzdelávania možno tiež posudzovať ako schopnosť absolventa uplatniť sa na trhu práce, čo predstavuje dominantný výsledok procesu vzdelávania. Parameter, ktorým toto možno posudzovať je percento nezamestnanosti absolventov, ktoré zverejňuje Ministerstvo práce, sociálnych vecí a rodiny SR. Skutočnosť, že v ostatných rokoch STU patrí medzi univerzity s najnižším percentom nezamestnaných je potvrdením, že spoločenská prax má o našich absolventov záujem.</w:t>
      </w:r>
    </w:p>
    <w:p w:rsidR="00B51749" w:rsidRPr="00F0732E" w:rsidRDefault="00B51749" w:rsidP="00B51749">
      <w:pPr>
        <w:rPr>
          <w:rFonts w:cs="Calibri"/>
          <w:sz w:val="28"/>
          <w:szCs w:val="28"/>
        </w:rPr>
      </w:pPr>
      <w:r w:rsidRPr="00F0732E">
        <w:rPr>
          <w:rFonts w:cs="Calibri"/>
          <w:sz w:val="28"/>
          <w:szCs w:val="28"/>
        </w:rPr>
        <w:lastRenderedPageBreak/>
        <w:t>K ďalším parametrom, ktor</w:t>
      </w:r>
      <w:r w:rsidR="00BF1BAC">
        <w:rPr>
          <w:rFonts w:cs="Calibri"/>
          <w:sz w:val="28"/>
          <w:szCs w:val="28"/>
        </w:rPr>
        <w:t>é</w:t>
      </w:r>
      <w:r w:rsidRPr="00F0732E">
        <w:rPr>
          <w:rFonts w:cs="Calibri"/>
          <w:sz w:val="28"/>
          <w:szCs w:val="28"/>
        </w:rPr>
        <w:t xml:space="preserve"> vyjadruj</w:t>
      </w:r>
      <w:r w:rsidR="00BF1BAC">
        <w:rPr>
          <w:rFonts w:cs="Calibri"/>
          <w:sz w:val="28"/>
          <w:szCs w:val="28"/>
        </w:rPr>
        <w:t>ú</w:t>
      </w:r>
      <w:r w:rsidRPr="00F0732E">
        <w:rPr>
          <w:rFonts w:cs="Calibri"/>
          <w:sz w:val="28"/>
          <w:szCs w:val="28"/>
        </w:rPr>
        <w:t xml:space="preserve"> náročnosť a aj kvalitu vzdelávacieho procesu patrí % úspešnosti študentov. V Tabuľke 1</w:t>
      </w:r>
      <w:r w:rsidR="00833C9E">
        <w:rPr>
          <w:rFonts w:cs="Calibri"/>
          <w:sz w:val="28"/>
          <w:szCs w:val="28"/>
        </w:rPr>
        <w:t>2</w:t>
      </w:r>
      <w:r w:rsidRPr="00F0732E">
        <w:rPr>
          <w:rFonts w:cs="Calibri"/>
          <w:sz w:val="28"/>
          <w:szCs w:val="28"/>
        </w:rPr>
        <w:t xml:space="preserve">.1 a v Tabuľke </w:t>
      </w:r>
      <w:r w:rsidR="00833C9E">
        <w:rPr>
          <w:rFonts w:cs="Calibri"/>
          <w:sz w:val="28"/>
          <w:szCs w:val="28"/>
        </w:rPr>
        <w:t>12.2</w:t>
      </w:r>
      <w:r w:rsidRPr="00F0732E">
        <w:rPr>
          <w:rFonts w:cs="Calibri"/>
          <w:sz w:val="28"/>
          <w:szCs w:val="28"/>
        </w:rPr>
        <w:t xml:space="preserve"> je uvedený prehľad úspešnosti študentov na prvom a druhom stupni štúdia, ktorých štúdium začalo v jednotlivých akademických rokoch so stavom k 22.</w:t>
      </w:r>
      <w:r w:rsidR="00C818A7">
        <w:rPr>
          <w:rFonts w:cs="Calibri"/>
          <w:sz w:val="28"/>
          <w:szCs w:val="28"/>
        </w:rPr>
        <w:t xml:space="preserve"> </w:t>
      </w:r>
      <w:r w:rsidRPr="00F0732E">
        <w:rPr>
          <w:rFonts w:cs="Calibri"/>
          <w:sz w:val="28"/>
          <w:szCs w:val="28"/>
        </w:rPr>
        <w:t>10.</w:t>
      </w:r>
      <w:r w:rsidR="00C818A7">
        <w:rPr>
          <w:rFonts w:cs="Calibri"/>
          <w:sz w:val="28"/>
          <w:szCs w:val="28"/>
        </w:rPr>
        <w:t xml:space="preserve"> </w:t>
      </w:r>
      <w:r w:rsidRPr="00F0732E">
        <w:rPr>
          <w:rFonts w:cs="Calibri"/>
          <w:sz w:val="28"/>
          <w:szCs w:val="28"/>
        </w:rPr>
        <w:t>2014.</w:t>
      </w:r>
    </w:p>
    <w:p w:rsidR="00B51749" w:rsidRPr="00F0732E" w:rsidRDefault="00B51749" w:rsidP="00B51749">
      <w:pPr>
        <w:rPr>
          <w:rFonts w:cs="Calibri"/>
          <w:sz w:val="28"/>
          <w:szCs w:val="28"/>
        </w:rPr>
      </w:pPr>
    </w:p>
    <w:p w:rsidR="0035658E" w:rsidRPr="00044257" w:rsidRDefault="00B51749" w:rsidP="0035658E">
      <w:pPr>
        <w:rPr>
          <w:rFonts w:asciiTheme="majorHAnsi" w:eastAsia="Times New Roman" w:hAnsiTheme="majorHAnsi" w:cs="Arial"/>
          <w:iCs/>
          <w:sz w:val="20"/>
          <w:szCs w:val="20"/>
          <w:lang w:eastAsia="sk-SK"/>
        </w:rPr>
      </w:pPr>
      <w:r w:rsidRPr="00F0732E">
        <w:rPr>
          <w:rFonts w:eastAsia="Times New Roman" w:cs="Arial"/>
          <w:b/>
          <w:iCs/>
          <w:sz w:val="28"/>
          <w:szCs w:val="28"/>
          <w:lang w:eastAsia="sk-SK"/>
        </w:rPr>
        <w:t>Tabuľka 1</w:t>
      </w:r>
      <w:r w:rsidR="00833C9E">
        <w:rPr>
          <w:rFonts w:eastAsia="Times New Roman" w:cs="Arial"/>
          <w:b/>
          <w:iCs/>
          <w:sz w:val="28"/>
          <w:szCs w:val="28"/>
          <w:lang w:eastAsia="sk-SK"/>
        </w:rPr>
        <w:t>2</w:t>
      </w:r>
      <w:r w:rsidRPr="00F0732E">
        <w:rPr>
          <w:rFonts w:eastAsia="Times New Roman" w:cs="Arial"/>
          <w:b/>
          <w:iCs/>
          <w:sz w:val="28"/>
          <w:szCs w:val="28"/>
          <w:lang w:eastAsia="sk-SK"/>
        </w:rPr>
        <w:t>.1: Percento úspešnosti študentov na I. stupni štúdia</w:t>
      </w:r>
      <w:r w:rsidR="0035658E" w:rsidRPr="0035658E">
        <w:rPr>
          <w:rFonts w:asciiTheme="majorHAnsi" w:eastAsia="Times New Roman" w:hAnsiTheme="majorHAnsi" w:cs="Arial"/>
          <w:iCs/>
          <w:sz w:val="20"/>
          <w:szCs w:val="20"/>
          <w:lang w:eastAsia="sk-SK"/>
        </w:rPr>
        <w:t xml:space="preserve"> </w:t>
      </w:r>
    </w:p>
    <w:tbl>
      <w:tblPr>
        <w:tblW w:w="9513" w:type="dxa"/>
        <w:tblInd w:w="55" w:type="dxa"/>
        <w:tblLayout w:type="fixed"/>
        <w:tblCellMar>
          <w:left w:w="70" w:type="dxa"/>
          <w:right w:w="70" w:type="dxa"/>
        </w:tblCellMar>
        <w:tblLook w:val="04A0" w:firstRow="1" w:lastRow="0" w:firstColumn="1" w:lastColumn="0" w:noHBand="0" w:noVBand="1"/>
      </w:tblPr>
      <w:tblGrid>
        <w:gridCol w:w="866"/>
        <w:gridCol w:w="1417"/>
        <w:gridCol w:w="903"/>
        <w:gridCol w:w="904"/>
        <w:gridCol w:w="904"/>
        <w:gridCol w:w="904"/>
        <w:gridCol w:w="903"/>
        <w:gridCol w:w="904"/>
        <w:gridCol w:w="904"/>
        <w:gridCol w:w="904"/>
      </w:tblGrid>
      <w:tr w:rsidR="0035658E" w:rsidRPr="00FC7810" w:rsidTr="00FC7810">
        <w:trPr>
          <w:trHeight w:val="68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Rok začatia štúdia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b/>
                <w:bCs/>
                <w:lang w:eastAsia="sk-SK"/>
              </w:rPr>
            </w:pPr>
            <w:r w:rsidRPr="00FC7810">
              <w:rPr>
                <w:rFonts w:asciiTheme="majorHAnsi" w:eastAsia="Times New Roman" w:hAnsiTheme="majorHAnsi" w:cs="Arial"/>
                <w:b/>
                <w:bCs/>
                <w:lang w:eastAsia="sk-SK"/>
              </w:rPr>
              <w:t>celkový počet zapísaných študentov</w:t>
            </w:r>
          </w:p>
        </w:tc>
        <w:tc>
          <w:tcPr>
            <w:tcW w:w="1807"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Riadne skončili štúdium </w:t>
            </w:r>
          </w:p>
        </w:tc>
        <w:tc>
          <w:tcPr>
            <w:tcW w:w="1808"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Boli vylúčení zo štúdia alebo zanechali štúdium)</w:t>
            </w:r>
          </w:p>
        </w:tc>
        <w:tc>
          <w:tcPr>
            <w:tcW w:w="1807"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zmenili študijný program</w:t>
            </w:r>
          </w:p>
        </w:tc>
        <w:tc>
          <w:tcPr>
            <w:tcW w:w="1808"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štúdium trvá, prípadne je prerušené</w:t>
            </w:r>
          </w:p>
        </w:tc>
      </w:tr>
      <w:tr w:rsidR="0035658E" w:rsidRPr="00FC7810" w:rsidTr="00FC7810">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5658E" w:rsidRPr="00FC7810" w:rsidRDefault="0035658E" w:rsidP="0000089C">
            <w:pPr>
              <w:rPr>
                <w:rFonts w:asciiTheme="majorHAnsi" w:eastAsia="Times New Roman" w:hAnsiTheme="majorHAnsi" w:cs="Arial"/>
                <w:lang w:eastAsia="sk-SK"/>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5658E" w:rsidRPr="00FC7810" w:rsidRDefault="0035658E" w:rsidP="0000089C">
            <w:pPr>
              <w:rPr>
                <w:rFonts w:asciiTheme="majorHAnsi" w:eastAsia="Times New Roman" w:hAnsiTheme="majorHAnsi" w:cs="Arial"/>
                <w:b/>
                <w:bCs/>
                <w:lang w:eastAsia="sk-SK"/>
              </w:rPr>
            </w:pPr>
          </w:p>
        </w:tc>
        <w:tc>
          <w:tcPr>
            <w:tcW w:w="903"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04"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w:t>
            </w:r>
          </w:p>
        </w:tc>
        <w:tc>
          <w:tcPr>
            <w:tcW w:w="904"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04"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 </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w:t>
            </w:r>
          </w:p>
        </w:tc>
        <w:tc>
          <w:tcPr>
            <w:tcW w:w="904"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04"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2007/2008</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5734</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2356</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41%</w:t>
            </w:r>
          </w:p>
        </w:tc>
        <w:tc>
          <w:tcPr>
            <w:tcW w:w="904"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3064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53%</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314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w:t>
            </w:r>
          </w:p>
        </w:tc>
        <w:tc>
          <w:tcPr>
            <w:tcW w:w="904"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c>
          <w:tcPr>
            <w:tcW w:w="904" w:type="dxa"/>
            <w:tcBorders>
              <w:top w:val="nil"/>
              <w:left w:val="nil"/>
              <w:bottom w:val="single" w:sz="4" w:space="0" w:color="auto"/>
              <w:right w:val="single" w:sz="4" w:space="0" w:color="auto"/>
            </w:tcBorders>
            <w:shd w:val="clear" w:color="auto" w:fill="D9D9D9" w:themeFill="background1" w:themeFillShade="D9"/>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2008/2009</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4868</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1825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37%</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2572</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53%</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464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10%</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7</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2009/2010</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6178</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2676</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43%</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2868</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47%</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620</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10%</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2010/2011</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5067</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1908</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38%</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2939</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58%</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121</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99</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2011/2012</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4904</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1205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25%</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2914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59%</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91</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694</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14%</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2012/2013</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5292</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247</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2965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56%</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52</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2028</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38%</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2013/2014</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5165</w:t>
            </w:r>
          </w:p>
        </w:tc>
        <w:tc>
          <w:tcPr>
            <w:tcW w:w="903"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145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2145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42%</w:t>
            </w:r>
          </w:p>
        </w:tc>
        <w:tc>
          <w:tcPr>
            <w:tcW w:w="90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75</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c>
          <w:tcPr>
            <w:tcW w:w="904"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2800</w:t>
            </w:r>
          </w:p>
        </w:tc>
        <w:tc>
          <w:tcPr>
            <w:tcW w:w="904"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54%</w:t>
            </w:r>
          </w:p>
        </w:tc>
      </w:tr>
    </w:tbl>
    <w:p w:rsidR="0035658E" w:rsidRPr="00FC7810" w:rsidRDefault="0035658E" w:rsidP="0035658E">
      <w:pPr>
        <w:rPr>
          <w:rFonts w:asciiTheme="majorHAnsi" w:hAnsiTheme="majorHAnsi"/>
          <w:lang w:eastAsia="sk-SK"/>
        </w:rPr>
      </w:pPr>
      <w:r w:rsidRPr="00FC7810">
        <w:rPr>
          <w:rFonts w:asciiTheme="majorHAnsi" w:hAnsiTheme="majorHAnsi"/>
          <w:lang w:eastAsia="sk-SK"/>
        </w:rPr>
        <w:t>Stav k 22.10.2014</w:t>
      </w:r>
    </w:p>
    <w:p w:rsidR="00BE2D2A" w:rsidRDefault="00BE2D2A" w:rsidP="0035658E">
      <w:pPr>
        <w:rPr>
          <w:rFonts w:eastAsia="Times New Roman" w:cs="Arial"/>
          <w:b/>
          <w:iCs/>
          <w:sz w:val="28"/>
          <w:szCs w:val="28"/>
          <w:lang w:eastAsia="sk-SK"/>
        </w:rPr>
      </w:pPr>
    </w:p>
    <w:p w:rsidR="0035658E" w:rsidRDefault="0035658E" w:rsidP="0035658E">
      <w:pPr>
        <w:rPr>
          <w:rFonts w:eastAsia="Times New Roman" w:cs="Arial"/>
          <w:b/>
          <w:iCs/>
          <w:sz w:val="28"/>
          <w:szCs w:val="28"/>
          <w:lang w:eastAsia="sk-SK"/>
        </w:rPr>
      </w:pPr>
    </w:p>
    <w:p w:rsidR="0035658E" w:rsidRPr="00044257" w:rsidRDefault="00B51749" w:rsidP="0035658E">
      <w:pPr>
        <w:rPr>
          <w:rFonts w:asciiTheme="majorHAnsi" w:eastAsia="Times New Roman" w:hAnsiTheme="majorHAnsi" w:cs="Arial"/>
          <w:iCs/>
          <w:sz w:val="20"/>
          <w:szCs w:val="20"/>
          <w:lang w:eastAsia="sk-SK"/>
        </w:rPr>
      </w:pPr>
      <w:r w:rsidRPr="00F0732E">
        <w:rPr>
          <w:rFonts w:eastAsia="Times New Roman" w:cs="Arial"/>
          <w:b/>
          <w:iCs/>
          <w:sz w:val="28"/>
          <w:szCs w:val="28"/>
          <w:lang w:eastAsia="sk-SK"/>
        </w:rPr>
        <w:t>Tabuľka 1</w:t>
      </w:r>
      <w:r w:rsidR="00833C9E">
        <w:rPr>
          <w:rFonts w:eastAsia="Times New Roman" w:cs="Arial"/>
          <w:b/>
          <w:iCs/>
          <w:sz w:val="28"/>
          <w:szCs w:val="28"/>
          <w:lang w:eastAsia="sk-SK"/>
        </w:rPr>
        <w:t>2</w:t>
      </w:r>
      <w:r w:rsidRPr="00F0732E">
        <w:rPr>
          <w:rFonts w:eastAsia="Times New Roman" w:cs="Arial"/>
          <w:b/>
          <w:iCs/>
          <w:sz w:val="28"/>
          <w:szCs w:val="28"/>
          <w:lang w:eastAsia="sk-SK"/>
        </w:rPr>
        <w:t>.2: Percento úspešnosti študentov na druhom stupni štúdia</w:t>
      </w:r>
      <w:r w:rsidR="00E12B55" w:rsidRPr="00E12B55">
        <w:rPr>
          <w:rFonts w:asciiTheme="majorHAnsi" w:eastAsia="Times New Roman" w:hAnsiTheme="majorHAnsi" w:cs="Arial"/>
          <w:iCs/>
          <w:sz w:val="20"/>
          <w:szCs w:val="20"/>
          <w:lang w:eastAsia="sk-SK"/>
        </w:rPr>
        <w:t xml:space="preserve"> </w:t>
      </w:r>
    </w:p>
    <w:tbl>
      <w:tblPr>
        <w:tblW w:w="9583" w:type="dxa"/>
        <w:tblInd w:w="55" w:type="dxa"/>
        <w:tblLayout w:type="fixed"/>
        <w:tblCellMar>
          <w:left w:w="70" w:type="dxa"/>
          <w:right w:w="70" w:type="dxa"/>
        </w:tblCellMar>
        <w:tblLook w:val="04A0" w:firstRow="1" w:lastRow="0" w:firstColumn="1" w:lastColumn="0" w:noHBand="0" w:noVBand="1"/>
      </w:tblPr>
      <w:tblGrid>
        <w:gridCol w:w="866"/>
        <w:gridCol w:w="1417"/>
        <w:gridCol w:w="912"/>
        <w:gridCol w:w="913"/>
        <w:gridCol w:w="912"/>
        <w:gridCol w:w="913"/>
        <w:gridCol w:w="912"/>
        <w:gridCol w:w="913"/>
        <w:gridCol w:w="912"/>
        <w:gridCol w:w="913"/>
      </w:tblGrid>
      <w:tr w:rsidR="0035658E" w:rsidRPr="00FC7810" w:rsidTr="00FC7810">
        <w:trPr>
          <w:trHeight w:val="85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Rok začatia štúdia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58E" w:rsidRPr="00FC7810" w:rsidRDefault="0035658E" w:rsidP="0000089C">
            <w:pPr>
              <w:ind w:hanging="36"/>
              <w:jc w:val="center"/>
              <w:rPr>
                <w:rFonts w:asciiTheme="majorHAnsi" w:eastAsia="Times New Roman" w:hAnsiTheme="majorHAnsi" w:cs="Arial"/>
                <w:b/>
                <w:bCs/>
                <w:lang w:eastAsia="sk-SK"/>
              </w:rPr>
            </w:pPr>
            <w:r w:rsidRPr="00FC7810">
              <w:rPr>
                <w:rFonts w:asciiTheme="majorHAnsi" w:eastAsia="Times New Roman" w:hAnsiTheme="majorHAnsi" w:cs="Arial"/>
                <w:b/>
                <w:bCs/>
                <w:lang w:eastAsia="sk-SK"/>
              </w:rPr>
              <w:t>celkový počet zapísaných študentov</w:t>
            </w:r>
          </w:p>
        </w:tc>
        <w:tc>
          <w:tcPr>
            <w:tcW w:w="1825"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Riadne skončili štúdium</w:t>
            </w:r>
          </w:p>
        </w:tc>
        <w:tc>
          <w:tcPr>
            <w:tcW w:w="1825"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Boli vylúčení zo štúdia alebo zanechali štúdium )</w:t>
            </w:r>
          </w:p>
        </w:tc>
        <w:tc>
          <w:tcPr>
            <w:tcW w:w="1825"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zmenili študijný program</w:t>
            </w:r>
          </w:p>
        </w:tc>
        <w:tc>
          <w:tcPr>
            <w:tcW w:w="1825" w:type="dxa"/>
            <w:gridSpan w:val="2"/>
            <w:tcBorders>
              <w:top w:val="single" w:sz="4" w:space="0" w:color="auto"/>
              <w:left w:val="nil"/>
              <w:bottom w:val="single" w:sz="4" w:space="0" w:color="auto"/>
              <w:right w:val="single" w:sz="4" w:space="0" w:color="000000"/>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štúdium trvá, prípadne je prerušené</w:t>
            </w:r>
          </w:p>
        </w:tc>
      </w:tr>
      <w:tr w:rsidR="0035658E" w:rsidRPr="00FC7810" w:rsidTr="00FC7810">
        <w:trPr>
          <w:trHeight w:val="28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5658E" w:rsidRPr="00FC7810" w:rsidRDefault="0035658E" w:rsidP="0000089C">
            <w:pPr>
              <w:rPr>
                <w:rFonts w:asciiTheme="majorHAnsi" w:eastAsia="Times New Roman" w:hAnsiTheme="majorHAnsi" w:cs="Arial"/>
                <w:lang w:eastAsia="sk-SK"/>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5658E" w:rsidRPr="00FC7810" w:rsidRDefault="0035658E" w:rsidP="0000089C">
            <w:pPr>
              <w:rPr>
                <w:rFonts w:asciiTheme="majorHAnsi" w:eastAsia="Times New Roman" w:hAnsiTheme="majorHAnsi" w:cs="Arial"/>
                <w:b/>
                <w:bCs/>
                <w:lang w:eastAsia="sk-SK"/>
              </w:rPr>
            </w:pPr>
          </w:p>
        </w:tc>
        <w:tc>
          <w:tcPr>
            <w:tcW w:w="912"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13"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w:t>
            </w:r>
          </w:p>
        </w:tc>
        <w:tc>
          <w:tcPr>
            <w:tcW w:w="912"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13"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 </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13"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 </w:t>
            </w:r>
          </w:p>
        </w:tc>
        <w:tc>
          <w:tcPr>
            <w:tcW w:w="912" w:type="dxa"/>
            <w:tcBorders>
              <w:top w:val="nil"/>
              <w:left w:val="nil"/>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počet</w:t>
            </w:r>
          </w:p>
        </w:tc>
        <w:tc>
          <w:tcPr>
            <w:tcW w:w="913" w:type="dxa"/>
            <w:tcBorders>
              <w:top w:val="nil"/>
              <w:left w:val="nil"/>
              <w:bottom w:val="single" w:sz="4" w:space="0" w:color="auto"/>
              <w:right w:val="single" w:sz="4" w:space="0" w:color="auto"/>
            </w:tcBorders>
            <w:shd w:val="clear" w:color="auto" w:fill="auto"/>
            <w:noWrap/>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 xml:space="preserve"> % </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2007/2008</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2706</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2346</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87%</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258</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101</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c>
          <w:tcPr>
            <w:tcW w:w="913" w:type="dxa"/>
            <w:tcBorders>
              <w:top w:val="nil"/>
              <w:left w:val="nil"/>
              <w:bottom w:val="single" w:sz="4" w:space="0" w:color="auto"/>
              <w:right w:val="single" w:sz="4" w:space="0" w:color="auto"/>
            </w:tcBorders>
            <w:shd w:val="clear" w:color="auto" w:fill="D9D9D9" w:themeFill="background1" w:themeFillShade="D9"/>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2008/2009</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2688</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1640</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61%</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220</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827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31%</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2009/2010</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4226</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3089</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73%</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337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800</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19%</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2010/2011</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2895</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2476</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86%</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317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11%</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94</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2011/</w:t>
            </w:r>
            <w:r w:rsidRPr="00FC7810">
              <w:rPr>
                <w:rFonts w:asciiTheme="majorHAnsi" w:eastAsia="Times New Roman" w:hAnsiTheme="majorHAnsi" w:cs="Arial"/>
                <w:lang w:eastAsia="sk-SK"/>
              </w:rPr>
              <w:lastRenderedPageBreak/>
              <w:t>2012</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lastRenderedPageBreak/>
              <w:t>2528</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2033</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80%</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325</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13%</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147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6%</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23</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lastRenderedPageBreak/>
              <w:t>2012/2013</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2405</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1963</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82%</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219</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10</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213</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w:t>
            </w:r>
          </w:p>
        </w:tc>
      </w:tr>
      <w:tr w:rsidR="0035658E" w:rsidRPr="00FC7810" w:rsidTr="00FC7810">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2013/2014</w:t>
            </w:r>
          </w:p>
        </w:tc>
        <w:tc>
          <w:tcPr>
            <w:tcW w:w="1417"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2166</w:t>
            </w:r>
          </w:p>
        </w:tc>
        <w:tc>
          <w:tcPr>
            <w:tcW w:w="912" w:type="dxa"/>
            <w:tcBorders>
              <w:top w:val="nil"/>
              <w:left w:val="nil"/>
              <w:bottom w:val="single" w:sz="4" w:space="0" w:color="auto"/>
              <w:right w:val="single" w:sz="4" w:space="0" w:color="auto"/>
            </w:tcBorders>
            <w:shd w:val="clear" w:color="auto" w:fill="auto"/>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28</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144</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7%</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0%</w:t>
            </w:r>
          </w:p>
        </w:tc>
        <w:tc>
          <w:tcPr>
            <w:tcW w:w="912" w:type="dxa"/>
            <w:tcBorders>
              <w:top w:val="nil"/>
              <w:left w:val="nil"/>
              <w:bottom w:val="single" w:sz="4" w:space="0" w:color="auto"/>
              <w:right w:val="single" w:sz="4" w:space="0" w:color="auto"/>
            </w:tcBorders>
            <w:shd w:val="clear" w:color="auto" w:fill="auto"/>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1987</w:t>
            </w:r>
          </w:p>
        </w:tc>
        <w:tc>
          <w:tcPr>
            <w:tcW w:w="913" w:type="dxa"/>
            <w:tcBorders>
              <w:top w:val="nil"/>
              <w:left w:val="nil"/>
              <w:bottom w:val="single" w:sz="4" w:space="0" w:color="auto"/>
              <w:right w:val="single" w:sz="4" w:space="0" w:color="auto"/>
            </w:tcBorders>
            <w:shd w:val="clear" w:color="auto" w:fill="D9D9D9" w:themeFill="background1" w:themeFillShade="D9"/>
            <w:noWrap/>
            <w:vAlign w:val="bottom"/>
            <w:hideMark/>
          </w:tcPr>
          <w:p w:rsidR="0035658E" w:rsidRPr="00FC7810" w:rsidRDefault="0035658E" w:rsidP="0000089C">
            <w:pPr>
              <w:jc w:val="center"/>
              <w:rPr>
                <w:rFonts w:asciiTheme="majorHAnsi" w:eastAsia="Times New Roman" w:hAnsiTheme="majorHAnsi" w:cs="Arial"/>
                <w:lang w:eastAsia="sk-SK"/>
              </w:rPr>
            </w:pPr>
            <w:r w:rsidRPr="00FC7810">
              <w:rPr>
                <w:rFonts w:asciiTheme="majorHAnsi" w:eastAsia="Times New Roman" w:hAnsiTheme="majorHAnsi" w:cs="Arial"/>
                <w:lang w:eastAsia="sk-SK"/>
              </w:rPr>
              <w:t>92%</w:t>
            </w:r>
          </w:p>
        </w:tc>
      </w:tr>
    </w:tbl>
    <w:p w:rsidR="0035658E" w:rsidRPr="00FC7810" w:rsidRDefault="0035658E" w:rsidP="0035658E">
      <w:pPr>
        <w:rPr>
          <w:rFonts w:asciiTheme="majorHAnsi" w:hAnsiTheme="majorHAnsi"/>
          <w:lang w:eastAsia="sk-SK"/>
        </w:rPr>
      </w:pPr>
      <w:r w:rsidRPr="00FC7810">
        <w:rPr>
          <w:rFonts w:asciiTheme="majorHAnsi" w:hAnsiTheme="majorHAnsi"/>
          <w:lang w:eastAsia="sk-SK"/>
        </w:rPr>
        <w:t>Stav k 22.10.2014</w:t>
      </w:r>
    </w:p>
    <w:p w:rsidR="0035658E" w:rsidRPr="00044257" w:rsidRDefault="0035658E" w:rsidP="0035658E">
      <w:pPr>
        <w:rPr>
          <w:rFonts w:asciiTheme="majorHAnsi" w:hAnsiTheme="majorHAnsi"/>
          <w:lang w:eastAsia="sk-SK"/>
        </w:rPr>
      </w:pPr>
    </w:p>
    <w:p w:rsidR="00E12B55" w:rsidRDefault="00E12B55" w:rsidP="0035658E">
      <w:pPr>
        <w:rPr>
          <w:rFonts w:cs="Calibri"/>
          <w:sz w:val="28"/>
          <w:szCs w:val="28"/>
        </w:rPr>
      </w:pPr>
    </w:p>
    <w:p w:rsidR="00B51749" w:rsidRPr="00F0732E" w:rsidRDefault="00B51749" w:rsidP="00E12B55">
      <w:pPr>
        <w:rPr>
          <w:rFonts w:cs="Calibri"/>
          <w:sz w:val="28"/>
          <w:szCs w:val="28"/>
        </w:rPr>
      </w:pPr>
      <w:r w:rsidRPr="00F0732E">
        <w:rPr>
          <w:rFonts w:cs="Calibri"/>
          <w:sz w:val="28"/>
          <w:szCs w:val="28"/>
        </w:rPr>
        <w:t>Úspešnosť študentov počas prvého stupňa štúdia je uvedená v prvej časti tabuľky. Je vidieť, že aj keď sú medzi fakultami podstatné rozdiely v úspešnosti študentov na prvom stupni, je potrebné riešiť tento stav systémovo na celej univerzite</w:t>
      </w:r>
      <w:r w:rsidR="00C818A7">
        <w:rPr>
          <w:rFonts w:cs="Calibri"/>
          <w:sz w:val="28"/>
          <w:szCs w:val="28"/>
        </w:rPr>
        <w:t>,</w:t>
      </w:r>
      <w:r w:rsidRPr="00F0732E">
        <w:rPr>
          <w:rFonts w:cs="Calibri"/>
          <w:sz w:val="28"/>
          <w:szCs w:val="28"/>
        </w:rPr>
        <w:t xml:space="preserve"> a preto je zvyšovanie úspešnosti študentov (hlavne prvého stupňa štúdia) jedným zo strategických cieľov STU v oblasti vzdelávania na roky 2012 – 2017. Treba ale uviesť, že úspešnosť študentov na technických univerzitách v okolitých krajinách sa pohybuje na úrovni 50</w:t>
      </w:r>
      <w:r w:rsidR="00C818A7">
        <w:rPr>
          <w:rFonts w:cs="Calibri"/>
          <w:sz w:val="28"/>
          <w:szCs w:val="28"/>
        </w:rPr>
        <w:t xml:space="preserve"> </w:t>
      </w:r>
      <w:r w:rsidRPr="00F0732E">
        <w:rPr>
          <w:rFonts w:cs="Calibri"/>
          <w:sz w:val="28"/>
          <w:szCs w:val="28"/>
        </w:rPr>
        <w:t>%. Jedným z opatrení, ktoré sa na STU darí uplatňovať</w:t>
      </w:r>
      <w:r w:rsidR="00C818A7">
        <w:rPr>
          <w:rFonts w:cs="Calibri"/>
          <w:sz w:val="28"/>
          <w:szCs w:val="28"/>
        </w:rPr>
        <w:t>,</w:t>
      </w:r>
      <w:r w:rsidRPr="00F0732E">
        <w:rPr>
          <w:rFonts w:cs="Calibri"/>
          <w:sz w:val="28"/>
          <w:szCs w:val="28"/>
        </w:rPr>
        <w:t xml:space="preserve"> je tzv. </w:t>
      </w:r>
      <w:r w:rsidRPr="00F0732E">
        <w:rPr>
          <w:rFonts w:cs="Calibri"/>
          <w:b/>
          <w:sz w:val="28"/>
          <w:szCs w:val="28"/>
        </w:rPr>
        <w:t>študentský koučing – vzájomné podporovanie sa študentov hlavne formou doučovania</w:t>
      </w:r>
      <w:r w:rsidRPr="00F0732E">
        <w:rPr>
          <w:rFonts w:cs="Calibri"/>
          <w:sz w:val="28"/>
          <w:szCs w:val="28"/>
        </w:rPr>
        <w:t>, do ktorého sa postupne zapojili FEI, FIIT, MTF, SvF a FCHPT.</w:t>
      </w:r>
    </w:p>
    <w:p w:rsidR="00B51749" w:rsidRPr="00F0732E" w:rsidRDefault="00B51749" w:rsidP="00B51749">
      <w:pPr>
        <w:rPr>
          <w:rFonts w:cs="Calibri"/>
          <w:sz w:val="28"/>
          <w:szCs w:val="28"/>
        </w:rPr>
      </w:pPr>
      <w:r w:rsidRPr="00F0732E">
        <w:rPr>
          <w:rFonts w:cs="Calibri"/>
          <w:sz w:val="28"/>
          <w:szCs w:val="28"/>
        </w:rPr>
        <w:t xml:space="preserve">Ako už bolo uvedené v inej časti správy medzi najčastejšie príčiny neúspechu študentov na prvom stupni patria: nedostatočná príprava na strednej škole na štúdium technického zamerania </w:t>
      </w:r>
      <w:r w:rsidRPr="00F0732E">
        <w:rPr>
          <w:rFonts w:cs="Calibri"/>
          <w:b/>
          <w:sz w:val="28"/>
          <w:szCs w:val="28"/>
        </w:rPr>
        <w:t>(znižovanie rozsahu a úrovne hlavne prírodovedných predmetov)</w:t>
      </w:r>
      <w:r w:rsidRPr="00F0732E">
        <w:rPr>
          <w:rFonts w:cs="Calibri"/>
          <w:sz w:val="28"/>
          <w:szCs w:val="28"/>
        </w:rPr>
        <w:t xml:space="preserve">, zmena prostredia a systému vzdelávania na univerzite, prenášanie predmetov a kreditov do vyšších rokov štúdia a pod. </w:t>
      </w:r>
    </w:p>
    <w:p w:rsidR="00B51749" w:rsidRPr="00F0732E" w:rsidRDefault="00B51749" w:rsidP="00B51749">
      <w:pPr>
        <w:rPr>
          <w:rFonts w:cs="Calibri"/>
          <w:sz w:val="28"/>
          <w:szCs w:val="28"/>
        </w:rPr>
      </w:pPr>
      <w:r w:rsidRPr="00F0732E">
        <w:rPr>
          <w:rFonts w:cs="Calibri"/>
          <w:sz w:val="28"/>
          <w:szCs w:val="28"/>
        </w:rPr>
        <w:t>Naproti tomu úspešnosť štúdia na druhom stupni je vysoká (Tabuľka</w:t>
      </w:r>
      <w:r w:rsidR="006C3081">
        <w:rPr>
          <w:rFonts w:cs="Calibri"/>
          <w:sz w:val="28"/>
          <w:szCs w:val="28"/>
        </w:rPr>
        <w:t xml:space="preserve"> </w:t>
      </w:r>
      <w:r w:rsidRPr="00F0732E">
        <w:rPr>
          <w:rFonts w:cs="Calibri"/>
          <w:sz w:val="28"/>
          <w:szCs w:val="28"/>
        </w:rPr>
        <w:t xml:space="preserve"> </w:t>
      </w:r>
      <w:r w:rsidR="006350D0">
        <w:rPr>
          <w:rFonts w:cs="Calibri"/>
          <w:sz w:val="28"/>
          <w:szCs w:val="28"/>
        </w:rPr>
        <w:t>12.2</w:t>
      </w:r>
      <w:r w:rsidRPr="00F0732E">
        <w:rPr>
          <w:rFonts w:cs="Calibri"/>
          <w:sz w:val="28"/>
          <w:szCs w:val="28"/>
        </w:rPr>
        <w:t xml:space="preserve"> ), dosahuje v priemere takmer 90</w:t>
      </w:r>
      <w:r w:rsidR="00C818A7">
        <w:rPr>
          <w:rFonts w:cs="Calibri"/>
          <w:sz w:val="28"/>
          <w:szCs w:val="28"/>
        </w:rPr>
        <w:t xml:space="preserve"> </w:t>
      </w:r>
      <w:r w:rsidRPr="00F0732E">
        <w:rPr>
          <w:rFonts w:cs="Calibri"/>
          <w:sz w:val="28"/>
          <w:szCs w:val="28"/>
        </w:rPr>
        <w:t>% na celej univerzite. Je daná hlavne vyššou motiváciou študentov ukončiť štúdium, bližším vzťahom študentov k študovanému študijnému programu</w:t>
      </w:r>
      <w:r w:rsidR="00C818A7">
        <w:rPr>
          <w:rFonts w:cs="Calibri"/>
          <w:sz w:val="28"/>
          <w:szCs w:val="28"/>
        </w:rPr>
        <w:t>,</w:t>
      </w:r>
      <w:r w:rsidRPr="00F0732E">
        <w:rPr>
          <w:rFonts w:cs="Calibri"/>
          <w:sz w:val="28"/>
          <w:szCs w:val="28"/>
        </w:rPr>
        <w:t xml:space="preserve"> ako aj kvalitn</w:t>
      </w:r>
      <w:r w:rsidR="003C09CD">
        <w:rPr>
          <w:rFonts w:cs="Calibri"/>
          <w:sz w:val="28"/>
          <w:szCs w:val="28"/>
        </w:rPr>
        <w:t xml:space="preserve">ými </w:t>
      </w:r>
      <w:r w:rsidRPr="00F0732E">
        <w:rPr>
          <w:rFonts w:cs="Calibri"/>
          <w:sz w:val="28"/>
          <w:szCs w:val="28"/>
        </w:rPr>
        <w:t>odborn</w:t>
      </w:r>
      <w:r w:rsidR="003C09CD">
        <w:rPr>
          <w:rFonts w:cs="Calibri"/>
          <w:sz w:val="28"/>
          <w:szCs w:val="28"/>
        </w:rPr>
        <w:t>ými</w:t>
      </w:r>
      <w:r w:rsidRPr="00F0732E">
        <w:rPr>
          <w:rFonts w:cs="Calibri"/>
          <w:sz w:val="28"/>
          <w:szCs w:val="28"/>
        </w:rPr>
        <w:t xml:space="preserve"> znalos</w:t>
      </w:r>
      <w:r w:rsidR="003C09CD">
        <w:rPr>
          <w:rFonts w:cs="Calibri"/>
          <w:sz w:val="28"/>
          <w:szCs w:val="28"/>
        </w:rPr>
        <w:t>ťami</w:t>
      </w:r>
      <w:r w:rsidRPr="00F0732E">
        <w:rPr>
          <w:rFonts w:cs="Calibri"/>
          <w:sz w:val="28"/>
          <w:szCs w:val="28"/>
        </w:rPr>
        <w:t>, zručnos</w:t>
      </w:r>
      <w:r w:rsidR="003C09CD">
        <w:rPr>
          <w:rFonts w:cs="Calibri"/>
          <w:sz w:val="28"/>
          <w:szCs w:val="28"/>
        </w:rPr>
        <w:t>ťami</w:t>
      </w:r>
      <w:r w:rsidRPr="00F0732E">
        <w:rPr>
          <w:rFonts w:cs="Calibri"/>
          <w:sz w:val="28"/>
          <w:szCs w:val="28"/>
        </w:rPr>
        <w:t xml:space="preserve"> a návyk</w:t>
      </w:r>
      <w:r w:rsidR="003C09CD">
        <w:rPr>
          <w:rFonts w:cs="Calibri"/>
          <w:sz w:val="28"/>
          <w:szCs w:val="28"/>
        </w:rPr>
        <w:t>mi</w:t>
      </w:r>
      <w:r w:rsidRPr="00F0732E">
        <w:rPr>
          <w:rFonts w:cs="Calibri"/>
          <w:sz w:val="28"/>
          <w:szCs w:val="28"/>
        </w:rPr>
        <w:t xml:space="preserve"> získan</w:t>
      </w:r>
      <w:r w:rsidR="003C09CD">
        <w:rPr>
          <w:rFonts w:cs="Calibri"/>
          <w:sz w:val="28"/>
          <w:szCs w:val="28"/>
        </w:rPr>
        <w:t>ými</w:t>
      </w:r>
      <w:r w:rsidRPr="00F0732E">
        <w:rPr>
          <w:rFonts w:cs="Calibri"/>
          <w:sz w:val="28"/>
          <w:szCs w:val="28"/>
        </w:rPr>
        <w:t xml:space="preserve"> počas prvého stupňa štúdia.</w:t>
      </w:r>
    </w:p>
    <w:p w:rsidR="00B51749" w:rsidRPr="00F0732E" w:rsidRDefault="00B51749" w:rsidP="00B51749">
      <w:pPr>
        <w:rPr>
          <w:rFonts w:cs="Calibri"/>
          <w:sz w:val="28"/>
          <w:szCs w:val="28"/>
        </w:rPr>
      </w:pPr>
      <w:r w:rsidRPr="00F0732E">
        <w:rPr>
          <w:rFonts w:cs="Calibri"/>
          <w:sz w:val="28"/>
          <w:szCs w:val="28"/>
        </w:rPr>
        <w:t xml:space="preserve">Zo študijných výsledkov študentov prvého stupňa štúdia, ktoré sú reprezentované váženými študijnými priemermi (Tabuľka </w:t>
      </w:r>
      <w:r w:rsidR="006350D0">
        <w:rPr>
          <w:rFonts w:cs="Calibri"/>
          <w:sz w:val="28"/>
          <w:szCs w:val="28"/>
        </w:rPr>
        <w:t>12.3</w:t>
      </w:r>
      <w:r w:rsidRPr="00F0732E">
        <w:rPr>
          <w:rFonts w:cs="Calibri"/>
          <w:sz w:val="28"/>
          <w:szCs w:val="28"/>
        </w:rPr>
        <w:t>) je vidieť, že študenti na prvom stupni štúdia dosahujú väčšinou priemerné študijné výsledky (vážený študijný priemer 2,00 – 2,99), pričom výsledky sa výraznejšie zlepšujú vo vyšších rokoch štúdia.</w:t>
      </w:r>
    </w:p>
    <w:p w:rsidR="00B51749" w:rsidRDefault="00B51749" w:rsidP="00B51749">
      <w:pPr>
        <w:rPr>
          <w:rFonts w:cs="Calibri"/>
          <w:sz w:val="28"/>
          <w:szCs w:val="28"/>
        </w:rPr>
      </w:pPr>
    </w:p>
    <w:p w:rsidR="00440AB3" w:rsidRPr="00F0732E" w:rsidRDefault="00440AB3"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1</w:t>
      </w:r>
      <w:r w:rsidR="006350D0">
        <w:rPr>
          <w:rFonts w:cs="Calibri"/>
          <w:b/>
          <w:sz w:val="28"/>
          <w:szCs w:val="28"/>
        </w:rPr>
        <w:t>2</w:t>
      </w:r>
      <w:r w:rsidRPr="00F0732E">
        <w:rPr>
          <w:rFonts w:cs="Calibri"/>
          <w:b/>
          <w:sz w:val="28"/>
          <w:szCs w:val="28"/>
        </w:rPr>
        <w:t xml:space="preserve">.3: Študijné výsledky v prvom stupni štúdia v dennej forme v akad. roku 2013/2014 </w:t>
      </w:r>
    </w:p>
    <w:tbl>
      <w:tblPr>
        <w:tblW w:w="6111" w:type="dxa"/>
        <w:tblInd w:w="55" w:type="dxa"/>
        <w:tblCellMar>
          <w:left w:w="70" w:type="dxa"/>
          <w:right w:w="70" w:type="dxa"/>
        </w:tblCellMar>
        <w:tblLook w:val="04A0" w:firstRow="1" w:lastRow="0" w:firstColumn="1" w:lastColumn="0" w:noHBand="0" w:noVBand="1"/>
      </w:tblPr>
      <w:tblGrid>
        <w:gridCol w:w="1291"/>
        <w:gridCol w:w="1418"/>
        <w:gridCol w:w="1701"/>
        <w:gridCol w:w="1701"/>
      </w:tblGrid>
      <w:tr w:rsidR="00B51749" w:rsidRPr="00F0732E" w:rsidTr="00447572">
        <w:trPr>
          <w:trHeight w:val="285"/>
        </w:trPr>
        <w:tc>
          <w:tcPr>
            <w:tcW w:w="1291" w:type="dxa"/>
            <w:vMerge w:val="restart"/>
            <w:tcBorders>
              <w:top w:val="single" w:sz="4" w:space="0" w:color="auto"/>
              <w:left w:val="single" w:sz="4" w:space="0" w:color="auto"/>
              <w:right w:val="single" w:sz="4" w:space="0" w:color="auto"/>
            </w:tcBorders>
            <w:shd w:val="clear" w:color="auto" w:fill="auto"/>
            <w:noWrap/>
            <w:vAlign w:val="bottom"/>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lastRenderedPageBreak/>
              <w:t>ročník</w:t>
            </w:r>
          </w:p>
        </w:tc>
        <w:tc>
          <w:tcPr>
            <w:tcW w:w="4820" w:type="dxa"/>
            <w:gridSpan w:val="3"/>
            <w:tcBorders>
              <w:top w:val="single" w:sz="4" w:space="0" w:color="auto"/>
              <w:left w:val="nil"/>
              <w:bottom w:val="nil"/>
              <w:right w:val="single" w:sz="4" w:space="0" w:color="000000"/>
            </w:tcBorders>
            <w:shd w:val="clear" w:color="auto" w:fill="auto"/>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vážený študijný priemer</w:t>
            </w:r>
          </w:p>
        </w:tc>
      </w:tr>
      <w:tr w:rsidR="00B51749" w:rsidRPr="00F0732E" w:rsidTr="00447572">
        <w:trPr>
          <w:trHeight w:val="255"/>
        </w:trPr>
        <w:tc>
          <w:tcPr>
            <w:tcW w:w="1291" w:type="dxa"/>
            <w:vMerge/>
            <w:tcBorders>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p>
        </w:tc>
        <w:tc>
          <w:tcPr>
            <w:tcW w:w="1418"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1,00 - 1,99</w:t>
            </w:r>
          </w:p>
        </w:tc>
        <w:tc>
          <w:tcPr>
            <w:tcW w:w="1701"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2,00 - 2,99</w:t>
            </w:r>
          </w:p>
        </w:tc>
        <w:tc>
          <w:tcPr>
            <w:tcW w:w="1701"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3,00 – 4,00</w:t>
            </w:r>
          </w:p>
        </w:tc>
      </w:tr>
      <w:tr w:rsidR="00B51749" w:rsidRPr="00F0732E" w:rsidTr="00447572">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1. ročník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14,46%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37,32%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48,22%</w:t>
            </w:r>
          </w:p>
        </w:tc>
      </w:tr>
      <w:tr w:rsidR="00B51749" w:rsidRPr="00F0732E" w:rsidTr="00447572">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 ročník</w:t>
            </w:r>
          </w:p>
        </w:tc>
        <w:tc>
          <w:tcPr>
            <w:tcW w:w="141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23,73%</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49,65%</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26,62%</w:t>
            </w:r>
          </w:p>
        </w:tc>
      </w:tr>
      <w:tr w:rsidR="00B51749" w:rsidRPr="00F0732E" w:rsidTr="00447572">
        <w:trPr>
          <w:trHeight w:val="2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3. ročník</w:t>
            </w:r>
          </w:p>
        </w:tc>
        <w:tc>
          <w:tcPr>
            <w:tcW w:w="141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40,52%</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42,16%</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17,32%</w:t>
            </w:r>
          </w:p>
        </w:tc>
      </w:tr>
      <w:tr w:rsidR="00B51749" w:rsidRPr="00F0732E" w:rsidTr="00447572">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4. ročník</w:t>
            </w:r>
          </w:p>
        </w:tc>
        <w:tc>
          <w:tcPr>
            <w:tcW w:w="1418"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64,57%</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24,08%</w:t>
            </w:r>
          </w:p>
        </w:tc>
        <w:tc>
          <w:tcPr>
            <w:tcW w:w="1701" w:type="dxa"/>
            <w:tcBorders>
              <w:top w:val="nil"/>
              <w:left w:val="nil"/>
              <w:bottom w:val="single" w:sz="4" w:space="0" w:color="auto"/>
              <w:right w:val="single" w:sz="4" w:space="0" w:color="auto"/>
            </w:tcBorders>
            <w:shd w:val="clear" w:color="auto" w:fill="auto"/>
            <w:noWrap/>
            <w:vAlign w:val="center"/>
            <w:hideMark/>
          </w:tcPr>
          <w:p w:rsidR="00B51749" w:rsidRPr="00F0732E" w:rsidRDefault="00B51749" w:rsidP="00447572">
            <w:pPr>
              <w:jc w:val="center"/>
              <w:rPr>
                <w:rFonts w:eastAsia="Times New Roman" w:cs="Arial"/>
                <w:sz w:val="28"/>
                <w:szCs w:val="28"/>
                <w:lang w:eastAsia="sk-SK"/>
              </w:rPr>
            </w:pPr>
            <w:r w:rsidRPr="00F0732E">
              <w:rPr>
                <w:rFonts w:eastAsia="Times New Roman" w:cs="Arial"/>
                <w:sz w:val="28"/>
                <w:szCs w:val="28"/>
                <w:lang w:eastAsia="sk-SK"/>
              </w:rPr>
              <w:t>11,34%</w:t>
            </w:r>
          </w:p>
        </w:tc>
      </w:tr>
    </w:tbl>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Stav k 31. 8. 2014</w:t>
      </w:r>
    </w:p>
    <w:p w:rsidR="00B51749" w:rsidRPr="00F0732E" w:rsidRDefault="00B51749" w:rsidP="00B51749">
      <w:pPr>
        <w:rPr>
          <w:rFonts w:eastAsia="Calibri" w:cs="Calibri"/>
          <w:sz w:val="28"/>
          <w:szCs w:val="28"/>
        </w:rPr>
      </w:pPr>
    </w:p>
    <w:p w:rsidR="00B51749" w:rsidRPr="00F0732E" w:rsidRDefault="00B51749" w:rsidP="00B51749">
      <w:pPr>
        <w:rPr>
          <w:rFonts w:eastAsia="Calibri" w:cs="Calibri"/>
          <w:sz w:val="28"/>
          <w:szCs w:val="28"/>
        </w:rPr>
      </w:pPr>
    </w:p>
    <w:p w:rsidR="00B51749" w:rsidRPr="00F0732E" w:rsidRDefault="00B51749" w:rsidP="00B51749">
      <w:pPr>
        <w:rPr>
          <w:rFonts w:cs="Calibri"/>
          <w:sz w:val="28"/>
          <w:szCs w:val="28"/>
        </w:rPr>
      </w:pPr>
      <w:r w:rsidRPr="00F0732E">
        <w:rPr>
          <w:rFonts w:cs="Calibri"/>
          <w:sz w:val="28"/>
          <w:szCs w:val="28"/>
        </w:rPr>
        <w:t xml:space="preserve">Na druhom stupni štúdia naopak väčšina študentov dosahuje lepšie študijné výsledky (vážený študijný priemer 1,00 – 1,99), čo je zrejme dané už spomínanou vyššou motiváciu a záujmom študovať (Tabuľka </w:t>
      </w:r>
      <w:r w:rsidR="006350D0">
        <w:rPr>
          <w:rFonts w:cs="Calibri"/>
          <w:sz w:val="28"/>
          <w:szCs w:val="28"/>
        </w:rPr>
        <w:t>12.4</w:t>
      </w:r>
      <w:r w:rsidRPr="00F0732E">
        <w:rPr>
          <w:rFonts w:cs="Calibri"/>
          <w:sz w:val="28"/>
          <w:szCs w:val="28"/>
        </w:rPr>
        <w:t xml:space="preserve"> )</w:t>
      </w:r>
    </w:p>
    <w:p w:rsidR="00B51749" w:rsidRPr="00F0732E" w:rsidRDefault="00B51749" w:rsidP="00B51749">
      <w:pPr>
        <w:rPr>
          <w:rFonts w:cs="Calibri"/>
          <w:sz w:val="28"/>
          <w:szCs w:val="28"/>
        </w:rPr>
      </w:pPr>
    </w:p>
    <w:p w:rsidR="00B51749" w:rsidRPr="00F0732E" w:rsidRDefault="00B51749" w:rsidP="00B51749">
      <w:pPr>
        <w:rPr>
          <w:rFonts w:cs="Calibri"/>
          <w:b/>
          <w:sz w:val="28"/>
          <w:szCs w:val="28"/>
        </w:rPr>
      </w:pPr>
      <w:r w:rsidRPr="00F0732E">
        <w:rPr>
          <w:rFonts w:cs="Calibri"/>
          <w:b/>
          <w:sz w:val="28"/>
          <w:szCs w:val="28"/>
        </w:rPr>
        <w:t>Tabuľka 1</w:t>
      </w:r>
      <w:r w:rsidR="006350D0">
        <w:rPr>
          <w:rFonts w:cs="Calibri"/>
          <w:b/>
          <w:sz w:val="28"/>
          <w:szCs w:val="28"/>
        </w:rPr>
        <w:t>2</w:t>
      </w:r>
      <w:r w:rsidRPr="00F0732E">
        <w:rPr>
          <w:rFonts w:cs="Calibri"/>
          <w:b/>
          <w:sz w:val="28"/>
          <w:szCs w:val="28"/>
        </w:rPr>
        <w:t>.4: Študijné výsledky v druhom stupni štúdia v dennej forme v akad. roku 2013/2014</w:t>
      </w:r>
    </w:p>
    <w:tbl>
      <w:tblPr>
        <w:tblW w:w="6536" w:type="dxa"/>
        <w:tblInd w:w="55" w:type="dxa"/>
        <w:tblCellMar>
          <w:left w:w="70" w:type="dxa"/>
          <w:right w:w="70" w:type="dxa"/>
        </w:tblCellMar>
        <w:tblLook w:val="04A0" w:firstRow="1" w:lastRow="0" w:firstColumn="1" w:lastColumn="0" w:noHBand="0" w:noVBand="1"/>
      </w:tblPr>
      <w:tblGrid>
        <w:gridCol w:w="1433"/>
        <w:gridCol w:w="1843"/>
        <w:gridCol w:w="912"/>
        <w:gridCol w:w="736"/>
        <w:gridCol w:w="1612"/>
      </w:tblGrid>
      <w:tr w:rsidR="00B51749" w:rsidRPr="00F0732E" w:rsidTr="00447572">
        <w:trPr>
          <w:trHeight w:val="255"/>
        </w:trPr>
        <w:tc>
          <w:tcPr>
            <w:tcW w:w="1433" w:type="dxa"/>
            <w:tcBorders>
              <w:top w:val="single" w:sz="4" w:space="0" w:color="auto"/>
              <w:left w:val="single" w:sz="4" w:space="0" w:color="auto"/>
              <w:bottom w:val="single" w:sz="4" w:space="0" w:color="auto"/>
            </w:tcBorders>
            <w:noWrap/>
            <w:vAlign w:val="center"/>
            <w:hideMark/>
          </w:tcPr>
          <w:p w:rsidR="00B51749" w:rsidRPr="00F0732E" w:rsidRDefault="00B51749" w:rsidP="00447572">
            <w:pPr>
              <w:rPr>
                <w:sz w:val="28"/>
                <w:szCs w:val="28"/>
                <w:lang w:eastAsia="sk-SK"/>
              </w:rPr>
            </w:pPr>
          </w:p>
        </w:tc>
        <w:tc>
          <w:tcPr>
            <w:tcW w:w="5103" w:type="dxa"/>
            <w:gridSpan w:val="4"/>
            <w:tcBorders>
              <w:top w:val="single" w:sz="4" w:space="0" w:color="auto"/>
              <w:left w:val="single" w:sz="4" w:space="0" w:color="auto"/>
              <w:bottom w:val="nil"/>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vážený študijný priemer</w:t>
            </w:r>
          </w:p>
        </w:tc>
      </w:tr>
      <w:tr w:rsidR="00B51749" w:rsidRPr="00F0732E" w:rsidTr="00447572">
        <w:trPr>
          <w:trHeight w:val="25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ročník</w:t>
            </w:r>
          </w:p>
        </w:tc>
        <w:tc>
          <w:tcPr>
            <w:tcW w:w="1843"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1,00 - 1,99</w:t>
            </w:r>
          </w:p>
        </w:tc>
        <w:tc>
          <w:tcPr>
            <w:tcW w:w="1648" w:type="dxa"/>
            <w:gridSpan w:val="2"/>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2,00 - 2,99</w:t>
            </w:r>
          </w:p>
        </w:tc>
        <w:tc>
          <w:tcPr>
            <w:tcW w:w="1612" w:type="dxa"/>
            <w:tcBorders>
              <w:top w:val="single" w:sz="4" w:space="0" w:color="auto"/>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b/>
                <w:bCs/>
                <w:sz w:val="28"/>
                <w:szCs w:val="28"/>
                <w:lang w:eastAsia="sk-SK"/>
              </w:rPr>
            </w:pPr>
            <w:r w:rsidRPr="00F0732E">
              <w:rPr>
                <w:rFonts w:eastAsia="Times New Roman" w:cs="Arial"/>
                <w:b/>
                <w:bCs/>
                <w:sz w:val="28"/>
                <w:szCs w:val="28"/>
                <w:lang w:eastAsia="sk-SK"/>
              </w:rPr>
              <w:t>3,00 - 4,00</w:t>
            </w:r>
          </w:p>
        </w:tc>
      </w:tr>
      <w:tr w:rsidR="00B51749" w:rsidRPr="00F0732E" w:rsidTr="00447572">
        <w:trPr>
          <w:trHeight w:val="255"/>
        </w:trPr>
        <w:tc>
          <w:tcPr>
            <w:tcW w:w="1433"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1. ročník</w:t>
            </w:r>
          </w:p>
        </w:tc>
        <w:tc>
          <w:tcPr>
            <w:tcW w:w="1843"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58,5%</w:t>
            </w:r>
          </w:p>
        </w:tc>
        <w:tc>
          <w:tcPr>
            <w:tcW w:w="91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33,8%</w:t>
            </w:r>
          </w:p>
        </w:tc>
        <w:tc>
          <w:tcPr>
            <w:tcW w:w="2348" w:type="dxa"/>
            <w:gridSpan w:val="2"/>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7,7%</w:t>
            </w:r>
          </w:p>
        </w:tc>
      </w:tr>
      <w:tr w:rsidR="00B51749" w:rsidRPr="00F0732E" w:rsidTr="00447572">
        <w:trPr>
          <w:trHeight w:val="255"/>
        </w:trPr>
        <w:tc>
          <w:tcPr>
            <w:tcW w:w="1433" w:type="dxa"/>
            <w:tcBorders>
              <w:top w:val="nil"/>
              <w:left w:val="single" w:sz="4" w:space="0" w:color="auto"/>
              <w:bottom w:val="single" w:sz="4" w:space="0" w:color="auto"/>
              <w:right w:val="single" w:sz="4" w:space="0" w:color="auto"/>
            </w:tcBorders>
            <w:noWrap/>
            <w:vAlign w:val="center"/>
            <w:hideMark/>
          </w:tcPr>
          <w:p w:rsidR="00B51749" w:rsidRPr="00F0732E" w:rsidRDefault="00B51749" w:rsidP="00447572">
            <w:pPr>
              <w:rPr>
                <w:rFonts w:eastAsia="Times New Roman" w:cs="Arial"/>
                <w:b/>
                <w:bCs/>
                <w:sz w:val="28"/>
                <w:szCs w:val="28"/>
                <w:lang w:eastAsia="sk-SK"/>
              </w:rPr>
            </w:pPr>
            <w:r w:rsidRPr="00F0732E">
              <w:rPr>
                <w:rFonts w:eastAsia="Times New Roman" w:cs="Arial"/>
                <w:b/>
                <w:bCs/>
                <w:sz w:val="28"/>
                <w:szCs w:val="28"/>
                <w:lang w:eastAsia="sk-SK"/>
              </w:rPr>
              <w:t>2. ročník</w:t>
            </w:r>
          </w:p>
        </w:tc>
        <w:tc>
          <w:tcPr>
            <w:tcW w:w="1843"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77,2%</w:t>
            </w:r>
          </w:p>
        </w:tc>
        <w:tc>
          <w:tcPr>
            <w:tcW w:w="912" w:type="dxa"/>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16,0%</w:t>
            </w:r>
          </w:p>
        </w:tc>
        <w:tc>
          <w:tcPr>
            <w:tcW w:w="2348" w:type="dxa"/>
            <w:gridSpan w:val="2"/>
            <w:tcBorders>
              <w:top w:val="nil"/>
              <w:left w:val="nil"/>
              <w:bottom w:val="single" w:sz="4" w:space="0" w:color="auto"/>
              <w:right w:val="single" w:sz="4" w:space="0" w:color="auto"/>
            </w:tcBorders>
            <w:noWrap/>
            <w:vAlign w:val="center"/>
            <w:hideMark/>
          </w:tcPr>
          <w:p w:rsidR="00B51749" w:rsidRPr="00F0732E" w:rsidRDefault="00B51749" w:rsidP="00447572">
            <w:pPr>
              <w:jc w:val="center"/>
              <w:rPr>
                <w:rFonts w:eastAsia="Times New Roman" w:cs="Arial"/>
                <w:sz w:val="28"/>
                <w:szCs w:val="28"/>
                <w:lang w:eastAsia="sk-SK"/>
              </w:rPr>
            </w:pPr>
            <w:r w:rsidRPr="00F0732E">
              <w:rPr>
                <w:rFonts w:cs="Arial"/>
                <w:sz w:val="28"/>
                <w:szCs w:val="28"/>
              </w:rPr>
              <w:t>6,8%</w:t>
            </w:r>
          </w:p>
        </w:tc>
      </w:tr>
    </w:tbl>
    <w:p w:rsidR="00B51749" w:rsidRPr="00F0732E" w:rsidRDefault="00B51749" w:rsidP="00B51749">
      <w:pPr>
        <w:rPr>
          <w:rFonts w:cs="Calibri"/>
          <w:b/>
          <w:sz w:val="28"/>
          <w:szCs w:val="28"/>
        </w:rPr>
      </w:pPr>
      <w:r w:rsidRPr="00F0732E">
        <w:rPr>
          <w:rFonts w:eastAsia="Times New Roman" w:cs="Arial"/>
          <w:sz w:val="28"/>
          <w:szCs w:val="28"/>
          <w:lang w:eastAsia="sk-SK"/>
        </w:rPr>
        <w:t>Stav k 31. 8. 2014</w:t>
      </w:r>
    </w:p>
    <w:p w:rsidR="00B51749" w:rsidRPr="00F0732E" w:rsidRDefault="00B51749" w:rsidP="00B51749">
      <w:pPr>
        <w:rPr>
          <w:rFonts w:cs="Calibri"/>
          <w:sz w:val="28"/>
          <w:szCs w:val="28"/>
        </w:rPr>
      </w:pPr>
    </w:p>
    <w:p w:rsidR="00B51749" w:rsidRPr="00F0732E" w:rsidRDefault="00B51749" w:rsidP="00B51749">
      <w:pPr>
        <w:rPr>
          <w:color w:val="FF0000"/>
          <w:sz w:val="28"/>
          <w:szCs w:val="28"/>
        </w:rPr>
      </w:pPr>
    </w:p>
    <w:p w:rsidR="00B51749" w:rsidRPr="00F0732E" w:rsidRDefault="00B51749" w:rsidP="00B51749">
      <w:pPr>
        <w:pStyle w:val="Nadpis2"/>
        <w:rPr>
          <w:rFonts w:ascii="Cambria" w:hAnsi="Cambria"/>
          <w:color w:val="auto"/>
        </w:rPr>
      </w:pPr>
      <w:bookmarkStart w:id="76" w:name="_Toc413009372"/>
      <w:r w:rsidRPr="00F0732E">
        <w:rPr>
          <w:rFonts w:ascii="Cambria" w:hAnsi="Cambria"/>
          <w:color w:val="auto"/>
        </w:rPr>
        <w:t>Hodnotenie úrovne vzdelávacej činnosti na STU za akademický rok 2013/14 z pohľadu Vedeckej rady STU</w:t>
      </w:r>
      <w:bookmarkEnd w:id="76"/>
    </w:p>
    <w:p w:rsidR="00B51749" w:rsidRPr="00F0732E" w:rsidRDefault="00B51749" w:rsidP="00B51749">
      <w:pPr>
        <w:rPr>
          <w:sz w:val="28"/>
          <w:szCs w:val="28"/>
          <w:lang w:eastAsia="cs-CZ"/>
        </w:rPr>
      </w:pPr>
    </w:p>
    <w:p w:rsidR="00B51749" w:rsidRPr="00F0732E" w:rsidRDefault="00B51749" w:rsidP="00B51749">
      <w:pPr>
        <w:rPr>
          <w:rFonts w:cs="Calibri"/>
          <w:sz w:val="28"/>
          <w:szCs w:val="28"/>
        </w:rPr>
      </w:pPr>
      <w:r w:rsidRPr="00F0732E">
        <w:rPr>
          <w:rFonts w:cs="Calibri"/>
          <w:sz w:val="28"/>
          <w:szCs w:val="28"/>
        </w:rPr>
        <w:t xml:space="preserve">Vedecká rada STU schvaľuje Hodnotenie úrovne vzdelávacej činnosti na Slovenskej technickej univerzite za akademický rok 2013/2014 </w:t>
      </w:r>
      <w:r w:rsidR="003C09CD">
        <w:rPr>
          <w:rFonts w:cs="Calibri"/>
          <w:sz w:val="28"/>
          <w:szCs w:val="28"/>
        </w:rPr>
        <w:t>a n</w:t>
      </w:r>
      <w:r w:rsidRPr="00F0732E">
        <w:rPr>
          <w:rFonts w:cs="Calibri"/>
          <w:sz w:val="28"/>
          <w:szCs w:val="28"/>
        </w:rPr>
        <w:t>a základe analýzy informácií prezentovaných v správe formul</w:t>
      </w:r>
      <w:r w:rsidR="00FD4159">
        <w:rPr>
          <w:rFonts w:cs="Calibri"/>
          <w:sz w:val="28"/>
          <w:szCs w:val="28"/>
        </w:rPr>
        <w:t>uje</w:t>
      </w:r>
      <w:r w:rsidRPr="00F0732E">
        <w:rPr>
          <w:rFonts w:cs="Calibri"/>
          <w:sz w:val="28"/>
          <w:szCs w:val="28"/>
        </w:rPr>
        <w:t xml:space="preserve"> nasledovné najdôležitejšie závery: </w:t>
      </w:r>
    </w:p>
    <w:p w:rsidR="00B51749" w:rsidRPr="00F0732E" w:rsidRDefault="00B51749" w:rsidP="00B51749">
      <w:pPr>
        <w:numPr>
          <w:ilvl w:val="0"/>
          <w:numId w:val="35"/>
        </w:numPr>
        <w:rPr>
          <w:rFonts w:cs="Calibri"/>
          <w:sz w:val="28"/>
          <w:szCs w:val="28"/>
        </w:rPr>
      </w:pPr>
      <w:r w:rsidRPr="00F0732E">
        <w:rPr>
          <w:rFonts w:cs="Calibri"/>
          <w:sz w:val="28"/>
          <w:szCs w:val="28"/>
        </w:rPr>
        <w:t xml:space="preserve">Všetky študijné programy sú ponúkané a realizované na STU v súlade so zákonom o VŠ č. 131/2002 Z. z. Ich akreditácia je priebežne sledovaná, vyhodnocovaná a podľa potreby aj aktualizovaná. </w:t>
      </w:r>
    </w:p>
    <w:p w:rsidR="00B51749" w:rsidRPr="00F0732E" w:rsidRDefault="00B51749" w:rsidP="00B51749">
      <w:pPr>
        <w:numPr>
          <w:ilvl w:val="0"/>
          <w:numId w:val="35"/>
        </w:numPr>
        <w:rPr>
          <w:rFonts w:cs="Calibri"/>
          <w:sz w:val="28"/>
          <w:szCs w:val="28"/>
        </w:rPr>
      </w:pPr>
      <w:r w:rsidRPr="00F0732E">
        <w:rPr>
          <w:rFonts w:cs="Calibri"/>
          <w:sz w:val="28"/>
          <w:szCs w:val="28"/>
        </w:rPr>
        <w:t xml:space="preserve">Celkové počty študentov na STU mierne klesajú; počty študentov v dennej forme štúdia sú pomerne stabilizované; pokles je zrejmý hlavne v externej forme štúdia. </w:t>
      </w:r>
    </w:p>
    <w:p w:rsidR="00B51749" w:rsidRPr="00F0732E" w:rsidRDefault="00B51749" w:rsidP="00B51749">
      <w:pPr>
        <w:numPr>
          <w:ilvl w:val="0"/>
          <w:numId w:val="35"/>
        </w:numPr>
        <w:rPr>
          <w:rFonts w:cs="Calibri"/>
          <w:sz w:val="28"/>
          <w:szCs w:val="28"/>
        </w:rPr>
      </w:pPr>
      <w:r w:rsidRPr="00F0732E">
        <w:rPr>
          <w:rFonts w:cs="Calibri"/>
          <w:sz w:val="28"/>
          <w:szCs w:val="28"/>
        </w:rPr>
        <w:lastRenderedPageBreak/>
        <w:t>Záujem o štúdium na STU na prvom stupni je stabilný napriek klesajúcemu trendu maturantov na Slovensku.</w:t>
      </w:r>
    </w:p>
    <w:p w:rsidR="00B51749" w:rsidRPr="00F0732E" w:rsidRDefault="00B51749" w:rsidP="00B51749">
      <w:pPr>
        <w:numPr>
          <w:ilvl w:val="0"/>
          <w:numId w:val="35"/>
        </w:numPr>
        <w:rPr>
          <w:rFonts w:cs="Calibri"/>
          <w:sz w:val="28"/>
          <w:szCs w:val="28"/>
        </w:rPr>
      </w:pPr>
      <w:r w:rsidRPr="00F0732E">
        <w:rPr>
          <w:rFonts w:cs="Calibri"/>
          <w:sz w:val="28"/>
          <w:szCs w:val="28"/>
        </w:rPr>
        <w:t>Je zrejmý výrazne celoslovenský záber STU – v priemere ¾ študentov sú z mimo bratislavského kraja.</w:t>
      </w:r>
    </w:p>
    <w:p w:rsidR="00B51749" w:rsidRPr="00F0732E" w:rsidRDefault="00B51749" w:rsidP="00B51749">
      <w:pPr>
        <w:numPr>
          <w:ilvl w:val="0"/>
          <w:numId w:val="35"/>
        </w:numPr>
        <w:rPr>
          <w:rFonts w:cs="Calibri"/>
          <w:sz w:val="28"/>
          <w:szCs w:val="28"/>
        </w:rPr>
      </w:pPr>
      <w:r w:rsidRPr="00F0732E">
        <w:rPr>
          <w:rFonts w:cs="Calibri"/>
          <w:sz w:val="28"/>
          <w:szCs w:val="28"/>
        </w:rPr>
        <w:t>Je badateľný nárast študentov v oblasti medzinárodných mobilít. Počet zahraničných študentov s uceleným štúdiom na univerzite na STU je dlhodobo nízky.</w:t>
      </w:r>
    </w:p>
    <w:p w:rsidR="00B51749" w:rsidRPr="00F0732E" w:rsidRDefault="00B51749" w:rsidP="00B51749">
      <w:pPr>
        <w:numPr>
          <w:ilvl w:val="0"/>
          <w:numId w:val="35"/>
        </w:numPr>
        <w:shd w:val="clear" w:color="auto" w:fill="FFFFFF"/>
        <w:rPr>
          <w:rFonts w:cs="Calibri"/>
          <w:sz w:val="28"/>
          <w:szCs w:val="28"/>
        </w:rPr>
      </w:pPr>
      <w:r w:rsidRPr="00F0732E">
        <w:rPr>
          <w:rFonts w:cs="Calibri"/>
          <w:sz w:val="28"/>
          <w:szCs w:val="28"/>
        </w:rPr>
        <w:t>STU si dlhodobo udržiava veľmi dobrú pozíciu medzi vysokými školami na Slovensku z hľadiska zamestnanosti absolventov.</w:t>
      </w:r>
    </w:p>
    <w:p w:rsidR="00B51749" w:rsidRPr="00F0732E" w:rsidRDefault="00B51749" w:rsidP="00B51749">
      <w:pPr>
        <w:numPr>
          <w:ilvl w:val="0"/>
          <w:numId w:val="35"/>
        </w:numPr>
        <w:shd w:val="clear" w:color="auto" w:fill="FFFFFF"/>
        <w:rPr>
          <w:rFonts w:cs="Calibri"/>
          <w:sz w:val="28"/>
          <w:szCs w:val="28"/>
        </w:rPr>
      </w:pPr>
      <w:r w:rsidRPr="00F0732E">
        <w:rPr>
          <w:rFonts w:cs="Calibri"/>
          <w:sz w:val="28"/>
          <w:szCs w:val="28"/>
        </w:rPr>
        <w:t xml:space="preserve">Dlhodobo pozitívnym trendom vo vzdelávaní študentov je spolupráca s praxou, o čom svedčia mnohé ocenenia študentov STU. </w:t>
      </w:r>
    </w:p>
    <w:p w:rsidR="00B51749" w:rsidRPr="00F0732E" w:rsidRDefault="00B51749" w:rsidP="00B51749">
      <w:pPr>
        <w:numPr>
          <w:ilvl w:val="0"/>
          <w:numId w:val="35"/>
        </w:numPr>
        <w:shd w:val="clear" w:color="auto" w:fill="FFFFFF"/>
        <w:rPr>
          <w:rFonts w:cs="Calibri"/>
          <w:sz w:val="28"/>
          <w:szCs w:val="28"/>
        </w:rPr>
      </w:pPr>
      <w:r w:rsidRPr="00F0732E">
        <w:rPr>
          <w:rFonts w:cs="Calibri"/>
          <w:sz w:val="28"/>
          <w:szCs w:val="28"/>
        </w:rPr>
        <w:t>STU poskytuje dobré sociálne služby svojim študentom (hlavne ubytovanie a stravovanie). Nedostatkom poskytovania ubytovania pre študentov STU sú nedostatočné kapacity študentských domov</w:t>
      </w:r>
      <w:r w:rsidR="003C09CD">
        <w:rPr>
          <w:rFonts w:cs="Calibri"/>
          <w:sz w:val="28"/>
          <w:szCs w:val="28"/>
        </w:rPr>
        <w:t>,</w:t>
      </w:r>
      <w:r w:rsidRPr="00F0732E">
        <w:rPr>
          <w:rFonts w:cs="Calibri"/>
          <w:sz w:val="28"/>
          <w:szCs w:val="28"/>
        </w:rPr>
        <w:t xml:space="preserve"> ako aj ich nevyhovujúci technický stav.  </w:t>
      </w:r>
    </w:p>
    <w:p w:rsidR="00B51749" w:rsidRPr="00F0732E" w:rsidRDefault="00B51749" w:rsidP="00B51749">
      <w:pPr>
        <w:numPr>
          <w:ilvl w:val="0"/>
          <w:numId w:val="35"/>
        </w:numPr>
        <w:rPr>
          <w:rFonts w:cs="Calibri"/>
          <w:sz w:val="28"/>
          <w:szCs w:val="28"/>
        </w:rPr>
      </w:pPr>
      <w:r w:rsidRPr="00F0732E">
        <w:rPr>
          <w:rFonts w:cs="Calibri"/>
          <w:sz w:val="28"/>
          <w:szCs w:val="28"/>
        </w:rPr>
        <w:t xml:space="preserve">Oblasť celoživotného vzdelávania má na STU dlhodobo veľmi dobrú úroveň. </w:t>
      </w:r>
    </w:p>
    <w:p w:rsidR="00B51749" w:rsidRPr="00F0732E" w:rsidRDefault="00B51749" w:rsidP="00B51749">
      <w:pPr>
        <w:numPr>
          <w:ilvl w:val="0"/>
          <w:numId w:val="35"/>
        </w:numPr>
        <w:rPr>
          <w:rFonts w:cs="Calibri"/>
          <w:sz w:val="28"/>
          <w:szCs w:val="28"/>
        </w:rPr>
      </w:pPr>
      <w:r w:rsidRPr="00F0732E">
        <w:rPr>
          <w:rFonts w:cs="Calibri"/>
          <w:sz w:val="28"/>
          <w:szCs w:val="28"/>
        </w:rPr>
        <w:t>STU má vypracovaný Vnútorný systém kvality, ktorý bol schválený ako vnútorný p</w:t>
      </w:r>
      <w:r w:rsidR="003C09CD">
        <w:rPr>
          <w:rFonts w:cs="Calibri"/>
          <w:sz w:val="28"/>
          <w:szCs w:val="28"/>
        </w:rPr>
        <w:t xml:space="preserve">redpis Akademickým senátom STU </w:t>
      </w:r>
      <w:r w:rsidRPr="00F0732E">
        <w:rPr>
          <w:rFonts w:cs="Calibri"/>
          <w:sz w:val="28"/>
          <w:szCs w:val="28"/>
        </w:rPr>
        <w:t>dňa 28. 4. 2014.</w:t>
      </w:r>
    </w:p>
    <w:p w:rsidR="00B51749" w:rsidRPr="00F0732E" w:rsidRDefault="00B51749" w:rsidP="00B51749">
      <w:pPr>
        <w:tabs>
          <w:tab w:val="left" w:pos="2310"/>
        </w:tabs>
        <w:rPr>
          <w:rFonts w:cs="Calibri"/>
          <w:sz w:val="28"/>
          <w:szCs w:val="28"/>
        </w:rPr>
      </w:pPr>
      <w:r w:rsidRPr="00F0732E">
        <w:rPr>
          <w:rFonts w:cs="Calibri"/>
          <w:sz w:val="28"/>
          <w:szCs w:val="28"/>
        </w:rPr>
        <w:tab/>
      </w:r>
    </w:p>
    <w:p w:rsidR="00B51749" w:rsidRPr="00F0732E" w:rsidRDefault="00B51749" w:rsidP="00B51749">
      <w:pPr>
        <w:rPr>
          <w:rFonts w:cs="Calibri"/>
          <w:b/>
          <w:sz w:val="28"/>
          <w:szCs w:val="28"/>
        </w:rPr>
      </w:pPr>
      <w:r w:rsidRPr="00F0732E">
        <w:rPr>
          <w:rFonts w:cs="Calibri"/>
          <w:sz w:val="28"/>
          <w:szCs w:val="28"/>
        </w:rPr>
        <w:t>Záverom je možné konštatovať, že vzdelávanie na STU je obsahovo inovované výsledkami tvorivej vedeckej a umeleckej činnosti a aktuálnymi požiadavkami spoločenskej praxe. V akademickom roku 2013/2014 sa uskutočňovalo na veľmi dobrej kvalitatívnej a kvantitatívnej úrovni, ktorá bola pozitívne hodnotená aj vonkajším prostredím. Takto Slovenská technická univerzita v Bratislave si v oblasti vzdelávania plní poslanie dané jej zákonom č. 131/2002 Z. z. o vysokých školách a o zmene a doplnení niektorých zákonov v znení neskorších predpisov a formulované Dlhodobým zámero</w:t>
      </w:r>
      <w:r w:rsidR="003C09CD">
        <w:rPr>
          <w:rFonts w:cs="Calibri"/>
          <w:sz w:val="28"/>
          <w:szCs w:val="28"/>
        </w:rPr>
        <w:t>m</w:t>
      </w:r>
      <w:r w:rsidRPr="00F0732E">
        <w:rPr>
          <w:rFonts w:cs="Calibri"/>
          <w:sz w:val="28"/>
          <w:szCs w:val="28"/>
        </w:rPr>
        <w:t xml:space="preserve"> rozvoja STU-</w:t>
      </w:r>
    </w:p>
    <w:p w:rsidR="00B51749" w:rsidRPr="00F0732E" w:rsidRDefault="00B51749" w:rsidP="00B51749">
      <w:pPr>
        <w:rPr>
          <w:rFonts w:cs="Calibri"/>
          <w:sz w:val="28"/>
          <w:szCs w:val="28"/>
        </w:rPr>
      </w:pPr>
    </w:p>
    <w:p w:rsidR="00B51749" w:rsidRPr="00F0732E" w:rsidRDefault="00B51749" w:rsidP="00B51749">
      <w:pPr>
        <w:rPr>
          <w:b/>
          <w:color w:val="FF0000"/>
          <w:sz w:val="28"/>
          <w:szCs w:val="28"/>
        </w:rPr>
      </w:pPr>
    </w:p>
    <w:p w:rsidR="00B51749" w:rsidRPr="00F0732E" w:rsidRDefault="00B51749" w:rsidP="00B51749">
      <w:pPr>
        <w:pStyle w:val="Nadpis2"/>
        <w:numPr>
          <w:ilvl w:val="0"/>
          <w:numId w:val="0"/>
        </w:numPr>
        <w:ind w:left="576" w:hanging="576"/>
        <w:jc w:val="left"/>
        <w:rPr>
          <w:rFonts w:ascii="Cambria" w:hAnsi="Cambria"/>
          <w:color w:val="auto"/>
        </w:rPr>
      </w:pPr>
      <w:bookmarkStart w:id="77" w:name="_Toc413009373"/>
      <w:r w:rsidRPr="00F0732E">
        <w:rPr>
          <w:rFonts w:ascii="Cambria" w:hAnsi="Cambria"/>
          <w:color w:val="auto"/>
        </w:rPr>
        <w:t xml:space="preserve">14.5. </w:t>
      </w:r>
      <w:r w:rsidRPr="00F0732E">
        <w:rPr>
          <w:rFonts w:ascii="Cambria" w:hAnsi="Cambria"/>
        </w:rPr>
        <w:t>Hodnotenie úrovne vedeckovýskumnej a umeleckej činnosti na STU za rok 2014 z pohľadu Vedeckej rady STU</w:t>
      </w:r>
      <w:bookmarkEnd w:id="77"/>
      <w:r w:rsidRPr="00F0732E">
        <w:rPr>
          <w:rFonts w:ascii="Cambria" w:hAnsi="Cambria"/>
        </w:rPr>
        <w:t xml:space="preserve"> </w:t>
      </w:r>
    </w:p>
    <w:p w:rsidR="00B51749" w:rsidRPr="00F0732E" w:rsidRDefault="00B51749" w:rsidP="00B51749">
      <w:pPr>
        <w:rPr>
          <w:rFonts w:eastAsia="Times New Roman" w:cs="Arial"/>
          <w:sz w:val="28"/>
          <w:szCs w:val="28"/>
          <w:lang w:eastAsia="sk-SK"/>
        </w:rPr>
      </w:pPr>
    </w:p>
    <w:p w:rsidR="00B51749" w:rsidRPr="00F0732E" w:rsidRDefault="00B51749" w:rsidP="00B51749">
      <w:pPr>
        <w:rPr>
          <w:rFonts w:eastAsia="Times New Roman" w:cs="Arial"/>
          <w:sz w:val="28"/>
          <w:szCs w:val="28"/>
          <w:lang w:eastAsia="sk-SK"/>
        </w:rPr>
      </w:pPr>
      <w:r w:rsidRPr="00F0732E">
        <w:rPr>
          <w:rFonts w:eastAsia="Times New Roman" w:cs="Arial"/>
          <w:sz w:val="28"/>
          <w:szCs w:val="28"/>
          <w:lang w:eastAsia="sk-SK"/>
        </w:rPr>
        <w:t>Vedecká rada STU sa na svojom zasadnutí 28. 1. 2015 oboznámila so správou o vedeckovýskumnej a umeleckej č</w:t>
      </w:r>
      <w:r w:rsidR="003C09CD">
        <w:rPr>
          <w:rFonts w:eastAsia="Times New Roman" w:cs="Arial"/>
          <w:sz w:val="28"/>
          <w:szCs w:val="28"/>
          <w:lang w:eastAsia="sk-SK"/>
        </w:rPr>
        <w:t>i</w:t>
      </w:r>
      <w:r w:rsidRPr="00F0732E">
        <w:rPr>
          <w:rFonts w:eastAsia="Times New Roman" w:cs="Arial"/>
          <w:sz w:val="28"/>
          <w:szCs w:val="28"/>
          <w:lang w:eastAsia="sk-SK"/>
        </w:rPr>
        <w:t xml:space="preserve">nnosti STU za rok 2014, </w:t>
      </w:r>
      <w:r w:rsidRPr="00F0732E">
        <w:rPr>
          <w:rFonts w:eastAsia="Times New Roman" w:cs="Arial"/>
          <w:sz w:val="28"/>
          <w:szCs w:val="28"/>
          <w:lang w:eastAsia="sk-SK"/>
        </w:rPr>
        <w:lastRenderedPageBreak/>
        <w:t>prerokovala ju a v zmysle § 12 odst. (1) písm. b) Zákona č. 131/2002 Z. z. v platnom znení hodnotí úroveň Slovenskej technickej univerzity v oblasti vedy, techniky a umenia nasledovne:</w:t>
      </w:r>
    </w:p>
    <w:p w:rsidR="00B51749" w:rsidRPr="00F0732E" w:rsidRDefault="00B51749" w:rsidP="00B51749">
      <w:pPr>
        <w:rPr>
          <w:rFonts w:eastAsia="Times New Roman" w:cs="Arial"/>
          <w:sz w:val="28"/>
          <w:szCs w:val="28"/>
          <w:lang w:eastAsia="sk-SK"/>
        </w:rPr>
      </w:pPr>
    </w:p>
    <w:p w:rsidR="00B51749" w:rsidRPr="00C92614" w:rsidRDefault="00B51749" w:rsidP="00C92614">
      <w:pPr>
        <w:pStyle w:val="Odsekzoznamu"/>
        <w:numPr>
          <w:ilvl w:val="0"/>
          <w:numId w:val="35"/>
        </w:numPr>
        <w:rPr>
          <w:rFonts w:ascii="Cambria" w:eastAsia="MS Mincho" w:hAnsi="Cambria" w:cs="Calibri"/>
          <w:sz w:val="28"/>
          <w:szCs w:val="28"/>
        </w:rPr>
      </w:pPr>
      <w:r w:rsidRPr="00C92614">
        <w:rPr>
          <w:rFonts w:ascii="Cambria" w:eastAsia="MS Mincho" w:hAnsi="Cambria" w:cs="Calibri"/>
          <w:sz w:val="28"/>
          <w:szCs w:val="28"/>
        </w:rPr>
        <w:t>Vedecká rada Slovenskej technickej univerzity v Bratislave hodnotí pozitívne úroveň činnosti STU v oblasti vedy, techniky a umenia v roku 2014.</w:t>
      </w:r>
    </w:p>
    <w:p w:rsidR="00B51749" w:rsidRPr="00C92614" w:rsidRDefault="00B51749" w:rsidP="00C92614">
      <w:pPr>
        <w:pStyle w:val="Odsekzoznamu"/>
        <w:numPr>
          <w:ilvl w:val="0"/>
          <w:numId w:val="35"/>
        </w:numPr>
        <w:rPr>
          <w:rFonts w:ascii="Cambria" w:eastAsia="MS Mincho" w:hAnsi="Cambria" w:cs="Calibri"/>
          <w:sz w:val="28"/>
          <w:szCs w:val="28"/>
        </w:rPr>
      </w:pPr>
      <w:r w:rsidRPr="00C92614">
        <w:rPr>
          <w:rFonts w:ascii="Cambria" w:eastAsia="MS Mincho" w:hAnsi="Cambria" w:cs="Calibri"/>
          <w:sz w:val="28"/>
          <w:szCs w:val="28"/>
        </w:rPr>
        <w:t>Aj v roku 2014 si univerzita svojimi kvalitnými výsledkami prehlbovala svoju profiláciu výskumnej univerzity. Vynikajúce výkony v oblasti vedy a techniky a umenia dosahovala vo viacerých vyhodnocovaných ukazovateľoch, predovšetkým v oblasti úspešnosti pri získavaní financovania vedeckých projektov a publikovaní v prestížnych vedeckých časopisoch, kde sa zaznamenal výrazný nárast. STU si vybudovala v uplynulom roku dominantné postavenie medzi slovenskými verejnými vysokými školami v počte publikácií evidovanými v databáze SCOPUS (25</w:t>
      </w:r>
      <w:r w:rsidR="00FD4159" w:rsidRPr="00C92614">
        <w:rPr>
          <w:rFonts w:ascii="Cambria" w:eastAsia="MS Mincho" w:hAnsi="Cambria" w:cs="Calibri"/>
          <w:sz w:val="28"/>
          <w:szCs w:val="28"/>
        </w:rPr>
        <w:t xml:space="preserve"> </w:t>
      </w:r>
      <w:r w:rsidRPr="00C92614">
        <w:rPr>
          <w:rFonts w:ascii="Cambria" w:eastAsia="MS Mincho" w:hAnsi="Cambria" w:cs="Calibri"/>
          <w:sz w:val="28"/>
          <w:szCs w:val="28"/>
        </w:rPr>
        <w:t xml:space="preserve">%) a v získavaní finančných prostriedkov v rámci </w:t>
      </w:r>
      <w:r w:rsidR="00C92614" w:rsidRPr="00C92614">
        <w:rPr>
          <w:rFonts w:ascii="Cambria" w:eastAsia="MS Mincho" w:hAnsi="Cambria" w:cs="Calibri"/>
          <w:sz w:val="28"/>
          <w:szCs w:val="28"/>
        </w:rPr>
        <w:t>podnikateľskej činnosti (65 %).</w:t>
      </w:r>
    </w:p>
    <w:p w:rsidR="00B51749" w:rsidRPr="00C92614" w:rsidRDefault="00B51749" w:rsidP="00C92614">
      <w:pPr>
        <w:pStyle w:val="Odsekzoznamu"/>
        <w:numPr>
          <w:ilvl w:val="0"/>
          <w:numId w:val="35"/>
        </w:numPr>
        <w:rPr>
          <w:rFonts w:ascii="Cambria" w:eastAsia="MS Mincho" w:hAnsi="Cambria" w:cs="Calibri"/>
          <w:sz w:val="28"/>
          <w:szCs w:val="28"/>
        </w:rPr>
      </w:pPr>
      <w:r w:rsidRPr="00C92614">
        <w:rPr>
          <w:rFonts w:ascii="Cambria" w:eastAsia="MS Mincho" w:hAnsi="Cambria" w:cs="Calibri"/>
          <w:sz w:val="28"/>
          <w:szCs w:val="28"/>
        </w:rPr>
        <w:t xml:space="preserve">Vedecká rada osobitne vysoko hodnotí prístup STU k využívaniu štrukturálnych fondov EÚ pre oblasť posilňovania infraštruktúry výskumu a vývoja so zazmluvneným objemom vyše 100 mil. € najmä pri budovaní </w:t>
      </w:r>
      <w:r w:rsidR="00C92614" w:rsidRPr="00C92614">
        <w:rPr>
          <w:rFonts w:ascii="Cambria" w:eastAsia="MS Mincho" w:hAnsi="Cambria" w:cs="Calibri"/>
          <w:sz w:val="28"/>
          <w:szCs w:val="28"/>
        </w:rPr>
        <w:t>univerzitných vedeckých parkov.</w:t>
      </w:r>
    </w:p>
    <w:p w:rsidR="00B51749" w:rsidRPr="00C92614" w:rsidRDefault="00B51749" w:rsidP="00C92614">
      <w:pPr>
        <w:pStyle w:val="Odsekzoznamu"/>
        <w:numPr>
          <w:ilvl w:val="0"/>
          <w:numId w:val="35"/>
        </w:numPr>
        <w:rPr>
          <w:rFonts w:ascii="Cambria" w:eastAsia="MS Mincho" w:hAnsi="Cambria" w:cs="Calibri"/>
          <w:sz w:val="28"/>
          <w:szCs w:val="28"/>
        </w:rPr>
      </w:pPr>
      <w:r w:rsidRPr="00C92614">
        <w:rPr>
          <w:rFonts w:ascii="Cambria" w:eastAsia="MS Mincho" w:hAnsi="Cambria" w:cs="Calibri"/>
          <w:sz w:val="28"/>
          <w:szCs w:val="28"/>
        </w:rPr>
        <w:t>Vedecká rada oceňuje cieľavedomý prístup univerzity v motivovaní pracovníkov s cieľom zvýšiť kvantitu</w:t>
      </w:r>
      <w:r w:rsidR="00FD4159" w:rsidRPr="00C92614">
        <w:rPr>
          <w:rFonts w:ascii="Cambria" w:eastAsia="MS Mincho" w:hAnsi="Cambria" w:cs="Calibri"/>
          <w:sz w:val="28"/>
          <w:szCs w:val="28"/>
        </w:rPr>
        <w:t>,</w:t>
      </w:r>
      <w:r w:rsidRPr="00C92614">
        <w:rPr>
          <w:rFonts w:ascii="Cambria" w:eastAsia="MS Mincho" w:hAnsi="Cambria" w:cs="Calibri"/>
          <w:sz w:val="28"/>
          <w:szCs w:val="28"/>
        </w:rPr>
        <w:t xml:space="preserve"> ale aj kvalitu vedecko-výskumných a umeleckých výstupov. Zvláštny zreteľ kladie STU na podporu mladých výskumníkov pridelením 110 gra</w:t>
      </w:r>
      <w:r w:rsidR="00C92614" w:rsidRPr="00C92614">
        <w:rPr>
          <w:rFonts w:ascii="Cambria" w:eastAsia="MS Mincho" w:hAnsi="Cambria" w:cs="Calibri"/>
          <w:sz w:val="28"/>
          <w:szCs w:val="28"/>
        </w:rPr>
        <w:t>ntov a 5 pokračujúcich grantov</w:t>
      </w:r>
    </w:p>
    <w:p w:rsidR="00B51749" w:rsidRPr="00C92614" w:rsidRDefault="00B51749" w:rsidP="00C92614">
      <w:pPr>
        <w:pStyle w:val="Odsekzoznamu"/>
        <w:numPr>
          <w:ilvl w:val="0"/>
          <w:numId w:val="35"/>
        </w:numPr>
        <w:rPr>
          <w:rFonts w:ascii="Cambria" w:eastAsia="MS Mincho" w:hAnsi="Cambria" w:cs="Calibri"/>
          <w:sz w:val="28"/>
          <w:szCs w:val="28"/>
        </w:rPr>
      </w:pPr>
      <w:r w:rsidRPr="00C92614">
        <w:rPr>
          <w:rFonts w:ascii="Cambria" w:eastAsia="MS Mincho" w:hAnsi="Cambria" w:cs="Calibri"/>
          <w:sz w:val="28"/>
          <w:szCs w:val="28"/>
        </w:rPr>
        <w:t>Vedecká rada oceňuje aktivity STU v smere ochrany duševného vlastníctva v oblasti patentovej politiky (12 zaregistrovaných patentov alebo úžitkových vzorov).</w:t>
      </w:r>
    </w:p>
    <w:p w:rsidR="00B51749" w:rsidRPr="00F0732E" w:rsidRDefault="00B51749" w:rsidP="00B51749">
      <w:pPr>
        <w:rPr>
          <w:sz w:val="28"/>
          <w:szCs w:val="28"/>
        </w:rPr>
      </w:pPr>
    </w:p>
    <w:p w:rsidR="00B51749" w:rsidRPr="00F0732E" w:rsidRDefault="00B51749" w:rsidP="00B51749">
      <w:pPr>
        <w:pStyle w:val="Nadpis1"/>
        <w:rPr>
          <w:rFonts w:ascii="Cambria" w:hAnsi="Cambria"/>
          <w:color w:val="auto"/>
          <w:sz w:val="28"/>
          <w:szCs w:val="28"/>
        </w:rPr>
      </w:pPr>
      <w:bookmarkStart w:id="78" w:name="_Toc413009374"/>
      <w:r w:rsidRPr="00F0732E">
        <w:rPr>
          <w:rFonts w:ascii="Cambria" w:hAnsi="Cambria"/>
          <w:color w:val="auto"/>
          <w:sz w:val="28"/>
          <w:szCs w:val="28"/>
        </w:rPr>
        <w:t>Kontaktné údaje</w:t>
      </w:r>
      <w:bookmarkEnd w:id="78"/>
    </w:p>
    <w:p w:rsidR="00B51749" w:rsidRPr="00F0732E" w:rsidRDefault="00B51749" w:rsidP="00B51749">
      <w:pPr>
        <w:rPr>
          <w:sz w:val="28"/>
          <w:szCs w:val="28"/>
        </w:rPr>
      </w:pPr>
    </w:p>
    <w:p w:rsidR="00B51749" w:rsidRPr="00F0732E" w:rsidRDefault="00B51749" w:rsidP="00B51749">
      <w:pPr>
        <w:rPr>
          <w:sz w:val="28"/>
          <w:szCs w:val="28"/>
        </w:rPr>
      </w:pPr>
      <w:r w:rsidRPr="00F0732E">
        <w:rPr>
          <w:sz w:val="28"/>
          <w:szCs w:val="28"/>
        </w:rPr>
        <w:t xml:space="preserve">Slovenská technická univerzita v Bratislave </w:t>
      </w:r>
    </w:p>
    <w:p w:rsidR="00B51749" w:rsidRPr="00F0732E" w:rsidRDefault="00B51749" w:rsidP="00B51749">
      <w:pPr>
        <w:rPr>
          <w:sz w:val="28"/>
          <w:szCs w:val="28"/>
        </w:rPr>
      </w:pPr>
      <w:r w:rsidRPr="00F0732E">
        <w:rPr>
          <w:sz w:val="28"/>
          <w:szCs w:val="28"/>
        </w:rPr>
        <w:t>Rektorát</w:t>
      </w:r>
    </w:p>
    <w:p w:rsidR="00B51749" w:rsidRPr="00F0732E" w:rsidRDefault="00B51749" w:rsidP="00B51749">
      <w:pPr>
        <w:rPr>
          <w:sz w:val="28"/>
          <w:szCs w:val="28"/>
        </w:rPr>
      </w:pPr>
      <w:r w:rsidRPr="00F0732E">
        <w:rPr>
          <w:sz w:val="28"/>
          <w:szCs w:val="28"/>
        </w:rPr>
        <w:t>Vazovova 5</w:t>
      </w:r>
    </w:p>
    <w:p w:rsidR="00B51749" w:rsidRPr="00F0732E" w:rsidRDefault="00B51749" w:rsidP="00B51749">
      <w:pPr>
        <w:rPr>
          <w:sz w:val="28"/>
          <w:szCs w:val="28"/>
        </w:rPr>
      </w:pPr>
      <w:r w:rsidRPr="00F0732E">
        <w:rPr>
          <w:sz w:val="28"/>
          <w:szCs w:val="28"/>
        </w:rPr>
        <w:t>812 43 Bratislava 1</w:t>
      </w:r>
    </w:p>
    <w:p w:rsidR="00B51749" w:rsidRPr="00F0732E" w:rsidRDefault="00B51749" w:rsidP="00B51749">
      <w:pPr>
        <w:rPr>
          <w:sz w:val="28"/>
          <w:szCs w:val="28"/>
        </w:rPr>
      </w:pPr>
      <w:r w:rsidRPr="00F0732E">
        <w:rPr>
          <w:bCs/>
          <w:sz w:val="28"/>
          <w:szCs w:val="28"/>
        </w:rPr>
        <w:t>Tel.:</w:t>
      </w:r>
      <w:r w:rsidRPr="00F0732E">
        <w:rPr>
          <w:sz w:val="28"/>
          <w:szCs w:val="28"/>
        </w:rPr>
        <w:t xml:space="preserve"> 02/5249 7196</w:t>
      </w:r>
    </w:p>
    <w:p w:rsidR="00B51749" w:rsidRPr="00F0732E" w:rsidRDefault="00B51749" w:rsidP="00B51749">
      <w:pPr>
        <w:rPr>
          <w:sz w:val="28"/>
          <w:szCs w:val="28"/>
        </w:rPr>
      </w:pPr>
      <w:r w:rsidRPr="00F0732E">
        <w:rPr>
          <w:sz w:val="28"/>
          <w:szCs w:val="28"/>
        </w:rPr>
        <w:t xml:space="preserve">0918 669 118 </w:t>
      </w:r>
    </w:p>
    <w:p w:rsidR="00B51749" w:rsidRPr="00F0732E" w:rsidRDefault="00B51749" w:rsidP="00B51749">
      <w:pPr>
        <w:rPr>
          <w:sz w:val="28"/>
          <w:szCs w:val="28"/>
        </w:rPr>
      </w:pPr>
      <w:r w:rsidRPr="00F0732E">
        <w:rPr>
          <w:bCs/>
          <w:sz w:val="28"/>
          <w:szCs w:val="28"/>
        </w:rPr>
        <w:t>Fax:</w:t>
      </w:r>
      <w:r w:rsidRPr="00F0732E">
        <w:rPr>
          <w:sz w:val="28"/>
          <w:szCs w:val="28"/>
        </w:rPr>
        <w:t xml:space="preserve"> 02/5249 9384 </w:t>
      </w:r>
    </w:p>
    <w:p w:rsidR="00B51749" w:rsidRPr="00F0732E" w:rsidRDefault="00B51749" w:rsidP="00B51749">
      <w:pPr>
        <w:rPr>
          <w:sz w:val="28"/>
          <w:szCs w:val="28"/>
        </w:rPr>
      </w:pPr>
      <w:r w:rsidRPr="00F0732E">
        <w:rPr>
          <w:bCs/>
          <w:sz w:val="28"/>
          <w:szCs w:val="28"/>
        </w:rPr>
        <w:t xml:space="preserve">E-mail: </w:t>
      </w:r>
      <w:hyperlink r:id="rId62" w:history="1">
        <w:r w:rsidRPr="00F0732E">
          <w:rPr>
            <w:rStyle w:val="Hypertextovprepojenie"/>
            <w:color w:val="auto"/>
            <w:sz w:val="28"/>
            <w:szCs w:val="28"/>
          </w:rPr>
          <w:t>rector@stuba.sk</w:t>
        </w:r>
      </w:hyperlink>
    </w:p>
    <w:p w:rsidR="00B51749" w:rsidRPr="00F0732E" w:rsidRDefault="00B51749" w:rsidP="00B51749">
      <w:pPr>
        <w:rPr>
          <w:rStyle w:val="Hypertextovprepojenie"/>
          <w:color w:val="auto"/>
          <w:sz w:val="28"/>
          <w:szCs w:val="28"/>
        </w:rPr>
      </w:pPr>
      <w:r w:rsidRPr="00F0732E">
        <w:rPr>
          <w:sz w:val="28"/>
          <w:szCs w:val="28"/>
        </w:rPr>
        <w:t xml:space="preserve">Web: </w:t>
      </w:r>
      <w:hyperlink r:id="rId63" w:history="1">
        <w:r w:rsidRPr="00F0732E">
          <w:rPr>
            <w:rStyle w:val="Hypertextovprepojenie"/>
            <w:color w:val="auto"/>
            <w:sz w:val="28"/>
            <w:szCs w:val="28"/>
          </w:rPr>
          <w:t>www.stuba.sk</w:t>
        </w:r>
      </w:hyperlink>
    </w:p>
    <w:p w:rsidR="00B51749" w:rsidRPr="00F0732E" w:rsidRDefault="00B51749" w:rsidP="00B51749">
      <w:pPr>
        <w:rPr>
          <w:color w:val="FF0000"/>
          <w:sz w:val="28"/>
          <w:szCs w:val="28"/>
          <w:u w:val="single"/>
        </w:rPr>
      </w:pP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79" w:name="_Toc413009375"/>
      <w:r w:rsidRPr="00F0732E">
        <w:rPr>
          <w:rFonts w:ascii="Cambria" w:hAnsi="Cambria"/>
          <w:color w:val="auto"/>
          <w:sz w:val="28"/>
          <w:szCs w:val="28"/>
        </w:rPr>
        <w:t>Sumár</w:t>
      </w:r>
      <w:bookmarkEnd w:id="79"/>
      <w:r w:rsidRPr="00F0732E">
        <w:rPr>
          <w:rFonts w:ascii="Cambria" w:hAnsi="Cambria"/>
          <w:color w:val="auto"/>
          <w:sz w:val="28"/>
          <w:szCs w:val="28"/>
        </w:rPr>
        <w:t xml:space="preserve"> </w:t>
      </w:r>
    </w:p>
    <w:p w:rsidR="00B51749" w:rsidRPr="00F0732E" w:rsidRDefault="00B51749" w:rsidP="00B51749">
      <w:pPr>
        <w:rPr>
          <w:color w:val="FF0000"/>
          <w:sz w:val="28"/>
          <w:szCs w:val="28"/>
        </w:rPr>
      </w:pPr>
    </w:p>
    <w:p w:rsidR="00B51749" w:rsidRPr="00F0732E" w:rsidRDefault="00B51749" w:rsidP="00B51749">
      <w:pPr>
        <w:shd w:val="clear" w:color="auto" w:fill="FFFFFF"/>
        <w:rPr>
          <w:rFonts w:cs="Calibri"/>
          <w:sz w:val="28"/>
          <w:szCs w:val="28"/>
        </w:rPr>
      </w:pPr>
      <w:r w:rsidRPr="00F0732E">
        <w:rPr>
          <w:rFonts w:cs="Calibri"/>
          <w:sz w:val="28"/>
          <w:szCs w:val="28"/>
          <w:shd w:val="clear" w:color="auto" w:fill="FFFFFF"/>
        </w:rPr>
        <w:t xml:space="preserve">V akademickom roku 2013/2014 na STU úspešne </w:t>
      </w:r>
      <w:r w:rsidRPr="00F0732E">
        <w:rPr>
          <w:rFonts w:cs="Calibri"/>
          <w:b/>
          <w:sz w:val="28"/>
          <w:szCs w:val="28"/>
          <w:shd w:val="clear" w:color="auto" w:fill="FFFFFF"/>
        </w:rPr>
        <w:t>ukončilo štúdium 4 241 absolventov</w:t>
      </w:r>
      <w:r w:rsidRPr="00F0732E">
        <w:rPr>
          <w:rFonts w:cs="Calibri"/>
          <w:sz w:val="28"/>
          <w:szCs w:val="28"/>
          <w:shd w:val="clear" w:color="auto" w:fill="FFFFFF"/>
        </w:rPr>
        <w:t>, z toho na prvom stupni 1</w:t>
      </w:r>
      <w:r w:rsidR="00FD4159">
        <w:rPr>
          <w:rFonts w:cs="Calibri"/>
          <w:sz w:val="28"/>
          <w:szCs w:val="28"/>
          <w:shd w:val="clear" w:color="auto" w:fill="FFFFFF"/>
        </w:rPr>
        <w:t xml:space="preserve"> </w:t>
      </w:r>
      <w:r w:rsidRPr="00F0732E">
        <w:rPr>
          <w:rFonts w:cs="Calibri"/>
          <w:sz w:val="28"/>
          <w:szCs w:val="28"/>
          <w:shd w:val="clear" w:color="auto" w:fill="FFFFFF"/>
        </w:rPr>
        <w:t>939 absolventov, na druhom 2</w:t>
      </w:r>
      <w:r w:rsidR="00FD4159">
        <w:rPr>
          <w:rFonts w:cs="Calibri"/>
          <w:sz w:val="28"/>
          <w:szCs w:val="28"/>
          <w:shd w:val="clear" w:color="auto" w:fill="FFFFFF"/>
        </w:rPr>
        <w:t xml:space="preserve"> </w:t>
      </w:r>
      <w:r w:rsidRPr="00F0732E">
        <w:rPr>
          <w:rFonts w:cs="Calibri"/>
          <w:sz w:val="28"/>
          <w:szCs w:val="28"/>
          <w:shd w:val="clear" w:color="auto" w:fill="FFFFFF"/>
        </w:rPr>
        <w:t>037 absolventov a na treťom stupni 265 absolventov</w:t>
      </w:r>
      <w:r w:rsidRPr="00F0732E">
        <w:rPr>
          <w:rFonts w:cs="Calibri"/>
          <w:sz w:val="28"/>
          <w:szCs w:val="28"/>
        </w:rPr>
        <w:t>.</w:t>
      </w:r>
    </w:p>
    <w:p w:rsidR="00B51749" w:rsidRPr="00F0732E" w:rsidRDefault="00B51749" w:rsidP="00B51749">
      <w:pPr>
        <w:pStyle w:val="Odsekzoznamu"/>
        <w:spacing w:after="0" w:line="240" w:lineRule="auto"/>
        <w:ind w:left="0" w:right="275"/>
        <w:rPr>
          <w:rFonts w:ascii="Cambria" w:hAnsi="Cambria" w:cs="Cambria"/>
          <w:sz w:val="28"/>
          <w:szCs w:val="28"/>
        </w:rPr>
      </w:pPr>
    </w:p>
    <w:p w:rsidR="00B51749" w:rsidRPr="00F0732E" w:rsidRDefault="00B51749" w:rsidP="00B51749">
      <w:pPr>
        <w:pStyle w:val="Odsekzoznamu"/>
        <w:spacing w:after="0" w:line="240" w:lineRule="auto"/>
        <w:ind w:left="0" w:right="275"/>
        <w:rPr>
          <w:rFonts w:ascii="Cambria" w:hAnsi="Cambria" w:cs="Cambria"/>
          <w:sz w:val="28"/>
          <w:szCs w:val="28"/>
        </w:rPr>
      </w:pPr>
      <w:r w:rsidRPr="00F0732E">
        <w:rPr>
          <w:rFonts w:ascii="Cambria" w:hAnsi="Cambria" w:cs="Cambria"/>
          <w:sz w:val="28"/>
          <w:szCs w:val="28"/>
        </w:rPr>
        <w:t xml:space="preserve">V prijímacom konaní 2014/2015 </w:t>
      </w:r>
      <w:r w:rsidRPr="00F0732E">
        <w:rPr>
          <w:rFonts w:ascii="Cambria" w:hAnsi="Cambria" w:cs="Cambria"/>
          <w:b/>
          <w:sz w:val="28"/>
          <w:szCs w:val="28"/>
        </w:rPr>
        <w:t>sa do prvých ročníkov celkovo zapísalo 6 817 nových študentov</w:t>
      </w:r>
      <w:r w:rsidRPr="00F0732E">
        <w:rPr>
          <w:rFonts w:ascii="Cambria" w:hAnsi="Cambria" w:cs="Cambria"/>
          <w:sz w:val="28"/>
          <w:szCs w:val="28"/>
        </w:rPr>
        <w:t xml:space="preserve"> (na prvom stupni štúdia 4 473 študentov; 2 084 študentov na druhom stupni a na treťom stupni štúdia 260 študentov. </w:t>
      </w:r>
      <w:r w:rsidRPr="00F0732E">
        <w:rPr>
          <w:rFonts w:ascii="Cambria" w:hAnsi="Cambria" w:cs="Cambria"/>
          <w:b/>
          <w:sz w:val="28"/>
          <w:szCs w:val="28"/>
        </w:rPr>
        <w:t>Oproti predošlému akademickému roku to znamená pokles o 12 % na prvom stupni štúdia</w:t>
      </w:r>
      <w:r w:rsidRPr="00F0732E">
        <w:rPr>
          <w:rFonts w:ascii="Cambria" w:hAnsi="Cambria" w:cs="Cambria"/>
          <w:sz w:val="28"/>
          <w:szCs w:val="28"/>
        </w:rPr>
        <w:t xml:space="preserve">. Pokles na prvom stupni štúdia je spôsobený hlavne výrazným poklesom maturantov SR až o 10,8 % oproti minulému roku. </w:t>
      </w:r>
      <w:r w:rsidRPr="00F0732E">
        <w:rPr>
          <w:rFonts w:ascii="Cambria" w:hAnsi="Cambria" w:cs="Calibri"/>
          <w:b/>
          <w:sz w:val="28"/>
          <w:szCs w:val="28"/>
        </w:rPr>
        <w:t>Percento zapísaných študentov na STU z celkového počtu maturantov v SR je však dlhodobo stabilné</w:t>
      </w:r>
      <w:r w:rsidRPr="00F0732E">
        <w:rPr>
          <w:rFonts w:ascii="Cambria" w:hAnsi="Cambria" w:cs="Calibri"/>
          <w:sz w:val="28"/>
          <w:szCs w:val="28"/>
        </w:rPr>
        <w:t xml:space="preserve"> (6</w:t>
      </w:r>
      <w:r w:rsidR="00FD4159">
        <w:rPr>
          <w:rFonts w:ascii="Cambria" w:hAnsi="Cambria" w:cs="Calibri"/>
          <w:sz w:val="28"/>
          <w:szCs w:val="28"/>
        </w:rPr>
        <w:t xml:space="preserve"> </w:t>
      </w:r>
      <w:r w:rsidRPr="00F0732E">
        <w:rPr>
          <w:rFonts w:ascii="Cambria" w:hAnsi="Cambria" w:cs="Calibri"/>
          <w:sz w:val="28"/>
          <w:szCs w:val="28"/>
        </w:rPr>
        <w:t>%)</w:t>
      </w:r>
      <w:r>
        <w:rPr>
          <w:rFonts w:ascii="Cambria" w:hAnsi="Cambria" w:cs="Calibri"/>
          <w:sz w:val="28"/>
          <w:szCs w:val="28"/>
        </w:rPr>
        <w:t>,</w:t>
      </w:r>
      <w:r w:rsidRPr="00F0732E">
        <w:rPr>
          <w:rFonts w:ascii="Cambria" w:hAnsi="Cambria" w:cs="Calibri"/>
          <w:sz w:val="28"/>
          <w:szCs w:val="28"/>
        </w:rPr>
        <w:t xml:space="preserve"> </w:t>
      </w:r>
      <w:r w:rsidRPr="00F0732E">
        <w:rPr>
          <w:rFonts w:ascii="Cambria" w:hAnsi="Cambria" w:cs="Calibri"/>
          <w:b/>
          <w:sz w:val="28"/>
          <w:szCs w:val="28"/>
        </w:rPr>
        <w:t>a to aj napriek faktu, že počet maturantov v Slovenskej republike neustále klesá</w:t>
      </w:r>
      <w:r w:rsidRPr="00F0732E">
        <w:rPr>
          <w:rFonts w:ascii="Cambria" w:hAnsi="Cambria" w:cs="Calibri"/>
          <w:sz w:val="28"/>
          <w:szCs w:val="28"/>
        </w:rPr>
        <w:t xml:space="preserve"> (pokles viac ako 22</w:t>
      </w:r>
      <w:r w:rsidR="00FD4159">
        <w:rPr>
          <w:rFonts w:ascii="Cambria" w:hAnsi="Cambria" w:cs="Calibri"/>
          <w:sz w:val="28"/>
          <w:szCs w:val="28"/>
        </w:rPr>
        <w:t xml:space="preserve"> </w:t>
      </w:r>
      <w:r w:rsidRPr="00F0732E">
        <w:rPr>
          <w:rFonts w:ascii="Cambria" w:hAnsi="Cambria" w:cs="Calibri"/>
          <w:sz w:val="28"/>
          <w:szCs w:val="28"/>
        </w:rPr>
        <w:t>% za posledných 5 rokov).</w:t>
      </w:r>
    </w:p>
    <w:p w:rsidR="00B51749" w:rsidRPr="00F0732E" w:rsidRDefault="00B51749" w:rsidP="00B51749">
      <w:pPr>
        <w:shd w:val="clear" w:color="auto" w:fill="FFFFFF"/>
        <w:rPr>
          <w:color w:val="FF0000"/>
          <w:sz w:val="28"/>
          <w:szCs w:val="28"/>
        </w:rPr>
      </w:pPr>
    </w:p>
    <w:p w:rsidR="00B51749" w:rsidRPr="00F0732E" w:rsidRDefault="00B51749" w:rsidP="00B51749">
      <w:pPr>
        <w:rPr>
          <w:sz w:val="28"/>
          <w:szCs w:val="28"/>
        </w:rPr>
      </w:pPr>
      <w:r w:rsidRPr="00F0732E">
        <w:rPr>
          <w:sz w:val="28"/>
          <w:szCs w:val="28"/>
        </w:rPr>
        <w:t xml:space="preserve">Podľa rebríčka University Ranking By Academic Performance 2014/15 je STU </w:t>
      </w:r>
      <w:r w:rsidRPr="00F0732E">
        <w:rPr>
          <w:b/>
          <w:sz w:val="28"/>
          <w:szCs w:val="28"/>
        </w:rPr>
        <w:t xml:space="preserve">najlepšou technickou školou v SR a </w:t>
      </w:r>
      <w:r w:rsidR="007F6024">
        <w:rPr>
          <w:b/>
          <w:sz w:val="28"/>
          <w:szCs w:val="28"/>
        </w:rPr>
        <w:t>treťou</w:t>
      </w:r>
      <w:r w:rsidRPr="00F0732E">
        <w:rPr>
          <w:b/>
          <w:sz w:val="28"/>
          <w:szCs w:val="28"/>
        </w:rPr>
        <w:t xml:space="preserve"> najlepšou v ČR a SR</w:t>
      </w:r>
      <w:r w:rsidRPr="00F0732E">
        <w:rPr>
          <w:sz w:val="28"/>
          <w:szCs w:val="28"/>
        </w:rPr>
        <w:t xml:space="preserve"> (STU – 1</w:t>
      </w:r>
      <w:r w:rsidR="005D595F">
        <w:rPr>
          <w:sz w:val="28"/>
          <w:szCs w:val="28"/>
        </w:rPr>
        <w:t xml:space="preserve"> 004. miesto, CVUT Praha 542</w:t>
      </w:r>
      <w:r w:rsidR="00895AD4">
        <w:rPr>
          <w:sz w:val="28"/>
          <w:szCs w:val="28"/>
        </w:rPr>
        <w:t>.</w:t>
      </w:r>
      <w:r w:rsidR="005D595F">
        <w:rPr>
          <w:sz w:val="28"/>
          <w:szCs w:val="28"/>
        </w:rPr>
        <w:t xml:space="preserve">, </w:t>
      </w:r>
      <w:r w:rsidRPr="00F0732E">
        <w:rPr>
          <w:sz w:val="28"/>
          <w:szCs w:val="28"/>
        </w:rPr>
        <w:t>VŠCHT Praha 881</w:t>
      </w:r>
      <w:r w:rsidR="00895AD4">
        <w:rPr>
          <w:sz w:val="28"/>
          <w:szCs w:val="28"/>
        </w:rPr>
        <w:t>.</w:t>
      </w:r>
      <w:r w:rsidRPr="00F0732E">
        <w:rPr>
          <w:sz w:val="28"/>
          <w:szCs w:val="28"/>
        </w:rPr>
        <w:t>, VUT Brno 1</w:t>
      </w:r>
      <w:r w:rsidR="00895AD4">
        <w:rPr>
          <w:sz w:val="28"/>
          <w:szCs w:val="28"/>
        </w:rPr>
        <w:t> </w:t>
      </w:r>
      <w:r w:rsidRPr="00F0732E">
        <w:rPr>
          <w:sz w:val="28"/>
          <w:szCs w:val="28"/>
        </w:rPr>
        <w:t>039</w:t>
      </w:r>
      <w:r w:rsidR="00895AD4">
        <w:rPr>
          <w:sz w:val="28"/>
          <w:szCs w:val="28"/>
        </w:rPr>
        <w:t>.</w:t>
      </w:r>
      <w:r w:rsidRPr="00F0732E">
        <w:rPr>
          <w:sz w:val="28"/>
          <w:szCs w:val="28"/>
        </w:rPr>
        <w:t xml:space="preserve">). </w:t>
      </w:r>
    </w:p>
    <w:p w:rsidR="00B51749" w:rsidRPr="00F0732E" w:rsidRDefault="00B51749" w:rsidP="00B51749">
      <w:pPr>
        <w:rPr>
          <w:b/>
          <w:sz w:val="28"/>
          <w:szCs w:val="28"/>
        </w:rPr>
      </w:pPr>
      <w:r w:rsidRPr="00F0732E">
        <w:rPr>
          <w:sz w:val="28"/>
          <w:szCs w:val="28"/>
        </w:rPr>
        <w:t xml:space="preserve">Podľa rebríčka ARRA je Slovenská technická univerzita naďalej </w:t>
      </w:r>
      <w:r w:rsidRPr="00F0732E">
        <w:rPr>
          <w:b/>
          <w:sz w:val="28"/>
          <w:szCs w:val="28"/>
        </w:rPr>
        <w:t xml:space="preserve">najlepšou univerzitou na Slovensku pre chemické technológie, technické a počítačové vedy. </w:t>
      </w:r>
    </w:p>
    <w:p w:rsidR="00B51749" w:rsidRPr="00F0732E" w:rsidRDefault="00B51749" w:rsidP="00B51749">
      <w:pPr>
        <w:rPr>
          <w:b/>
          <w:color w:val="FF0000"/>
          <w:sz w:val="28"/>
          <w:szCs w:val="28"/>
        </w:rPr>
      </w:pPr>
    </w:p>
    <w:p w:rsidR="00B51749" w:rsidRPr="00F0732E" w:rsidRDefault="00B51749" w:rsidP="00B51749">
      <w:pPr>
        <w:rPr>
          <w:b/>
          <w:sz w:val="28"/>
          <w:szCs w:val="28"/>
        </w:rPr>
      </w:pPr>
      <w:r w:rsidRPr="00F0732E">
        <w:rPr>
          <w:rStyle w:val="Siln"/>
          <w:b w:val="0"/>
          <w:sz w:val="28"/>
          <w:szCs w:val="28"/>
        </w:rPr>
        <w:lastRenderedPageBreak/>
        <w:t>Výsledkami v oblasti vedy a výskumu obhájila Slovenská technická univerzita v Bratislave pevné postavenie medzi poprednými výskumnými inštitúciami na Slovensku.</w:t>
      </w:r>
      <w:r w:rsidRPr="00F0732E">
        <w:rPr>
          <w:rStyle w:val="Siln"/>
          <w:b w:val="0"/>
          <w:color w:val="FF0000"/>
          <w:sz w:val="28"/>
          <w:szCs w:val="28"/>
        </w:rPr>
        <w:t xml:space="preserve"> </w:t>
      </w:r>
      <w:r w:rsidRPr="00F0732E">
        <w:rPr>
          <w:b/>
          <w:sz w:val="28"/>
          <w:szCs w:val="28"/>
        </w:rPr>
        <w:t xml:space="preserve">V roku 2014 predstavoval podiel STU v počte publikácii registrovaných v databáze SCOPUS 25 % v rámci slovenských verejných vysokých </w:t>
      </w:r>
      <w:r w:rsidR="005D595F" w:rsidRPr="00F0732E">
        <w:rPr>
          <w:b/>
          <w:sz w:val="28"/>
          <w:szCs w:val="28"/>
        </w:rPr>
        <w:t>škôl</w:t>
      </w:r>
      <w:r w:rsidR="005D595F">
        <w:rPr>
          <w:b/>
          <w:sz w:val="28"/>
          <w:szCs w:val="28"/>
        </w:rPr>
        <w:t xml:space="preserve">, 22 % podiel </w:t>
      </w:r>
      <w:r w:rsidRPr="00F0732E">
        <w:rPr>
          <w:b/>
          <w:sz w:val="28"/>
          <w:szCs w:val="28"/>
        </w:rPr>
        <w:t>v domácich a 12 % podiel v zahraničných výskumných projektoch a v rámci podnikateľskej činnosti zase podiel 65 percent v rámci všetkých verejných vysokých škôl na Slovensku.</w:t>
      </w:r>
    </w:p>
    <w:p w:rsidR="00B51749" w:rsidRPr="00F0732E" w:rsidRDefault="00B51749" w:rsidP="00B51749">
      <w:pPr>
        <w:pStyle w:val="Odsekzoznamu"/>
        <w:spacing w:line="240" w:lineRule="auto"/>
        <w:ind w:left="0"/>
        <w:rPr>
          <w:rFonts w:ascii="Cambria" w:hAnsi="Cambria"/>
          <w:sz w:val="28"/>
          <w:szCs w:val="28"/>
        </w:rPr>
      </w:pPr>
      <w:r w:rsidRPr="00F0732E">
        <w:rPr>
          <w:rFonts w:ascii="Cambria" w:hAnsi="Cambria"/>
          <w:sz w:val="28"/>
          <w:szCs w:val="28"/>
        </w:rPr>
        <w:t xml:space="preserve">Pracovníci univerzity podali vyše 40 žiadostí o </w:t>
      </w:r>
      <w:r w:rsidR="005D595F" w:rsidRPr="00F0732E">
        <w:rPr>
          <w:rFonts w:ascii="Cambria" w:hAnsi="Cambria"/>
          <w:sz w:val="28"/>
          <w:szCs w:val="28"/>
        </w:rPr>
        <w:t>účasť</w:t>
      </w:r>
      <w:r w:rsidRPr="00F0732E">
        <w:rPr>
          <w:rFonts w:ascii="Cambria" w:hAnsi="Cambria"/>
          <w:sz w:val="28"/>
          <w:szCs w:val="28"/>
        </w:rPr>
        <w:t xml:space="preserve"> v konzorciách projektov v rámci H2020, pričom 4 z nich už boli bruselskou administratívou posúdené pozitívne. </w:t>
      </w:r>
    </w:p>
    <w:p w:rsidR="00B51749" w:rsidRPr="00F0732E" w:rsidRDefault="00B51749" w:rsidP="00B51749">
      <w:pPr>
        <w:pStyle w:val="Odsekzoznamu"/>
        <w:spacing w:line="240" w:lineRule="auto"/>
        <w:ind w:left="0"/>
        <w:rPr>
          <w:rFonts w:ascii="Cambria" w:hAnsi="Cambria"/>
          <w:sz w:val="28"/>
          <w:szCs w:val="28"/>
        </w:rPr>
      </w:pPr>
    </w:p>
    <w:p w:rsidR="00B51749" w:rsidRPr="00F0732E" w:rsidRDefault="00B51749" w:rsidP="00B51749">
      <w:pPr>
        <w:pStyle w:val="Odsekzoznamu"/>
        <w:spacing w:line="240" w:lineRule="auto"/>
        <w:ind w:left="0"/>
        <w:rPr>
          <w:rFonts w:ascii="Cambria" w:hAnsi="Cambria"/>
          <w:sz w:val="28"/>
          <w:szCs w:val="28"/>
        </w:rPr>
      </w:pPr>
      <w:r w:rsidRPr="00F0732E">
        <w:rPr>
          <w:rFonts w:ascii="Cambria" w:hAnsi="Cambria"/>
          <w:b/>
          <w:sz w:val="28"/>
          <w:szCs w:val="28"/>
        </w:rPr>
        <w:t>V roku 2014 sa na STU riešilo 274 projektov zmluvného výskumu pre priemyselnú prax a takmer 500 výskumných projektov financovaných z grantov, z čoho bolo 20 projektov 7. rámcového programu Európskej únie, vrátane iniciatívy ENIAC.</w:t>
      </w:r>
    </w:p>
    <w:p w:rsidR="00B51749" w:rsidRPr="00F0732E" w:rsidRDefault="00B51749" w:rsidP="00B51749">
      <w:pPr>
        <w:rPr>
          <w:sz w:val="28"/>
          <w:szCs w:val="28"/>
        </w:rPr>
      </w:pPr>
      <w:r w:rsidRPr="00F0732E">
        <w:rPr>
          <w:sz w:val="28"/>
          <w:szCs w:val="28"/>
        </w:rPr>
        <w:t xml:space="preserve">Slovenská technická univerzita pokračovala v roku 2014 s realizáciou významných rozvojových projektov – s budovaním </w:t>
      </w:r>
      <w:r w:rsidRPr="00F0732E">
        <w:rPr>
          <w:b/>
          <w:sz w:val="28"/>
          <w:szCs w:val="28"/>
        </w:rPr>
        <w:t>Univerzitného vedeckého parku Science City v Bratislave a Univerzitného vedeckého parku Cambo v Trnave.</w:t>
      </w:r>
      <w:r w:rsidRPr="00F0732E">
        <w:rPr>
          <w:sz w:val="28"/>
          <w:szCs w:val="28"/>
        </w:rPr>
        <w:t xml:space="preserve"> </w:t>
      </w:r>
    </w:p>
    <w:p w:rsidR="00B51749" w:rsidRPr="00F0732E" w:rsidRDefault="00B51749" w:rsidP="00B51749">
      <w:pPr>
        <w:rPr>
          <w:rStyle w:val="Siln"/>
          <w:b w:val="0"/>
          <w:sz w:val="28"/>
          <w:szCs w:val="28"/>
        </w:rPr>
      </w:pPr>
      <w:r w:rsidRPr="00F0732E">
        <w:rPr>
          <w:sz w:val="28"/>
          <w:szCs w:val="28"/>
        </w:rPr>
        <w:t xml:space="preserve">V rámci projektov univerzita obnovuje budovy a vedecké laboratória, ktoré zariaďuje špičkovými prístrojmi. V roku 2014 prebiehali rekonštrukčné práce na FA, SjF, SvF a FCHPT, na začiatku roka 2015 spustila STU aj rekonštrukciu budovy FEI. Prostredníctvom verejných obstarávaní boli obstarané a postupne dodávané prvé prístroje do laboratórií na fakultách. </w:t>
      </w:r>
    </w:p>
    <w:p w:rsidR="00B51749" w:rsidRPr="00F0732E" w:rsidRDefault="00B51749" w:rsidP="00B51749">
      <w:pPr>
        <w:pStyle w:val="Bezriadkovania"/>
        <w:jc w:val="both"/>
        <w:rPr>
          <w:rStyle w:val="Siln"/>
          <w:rFonts w:ascii="Cambria" w:hAnsi="Cambria"/>
          <w:b w:val="0"/>
          <w:color w:val="FF0000"/>
          <w:sz w:val="28"/>
          <w:szCs w:val="28"/>
        </w:rPr>
      </w:pPr>
    </w:p>
    <w:p w:rsidR="00B51749" w:rsidRPr="00F0732E" w:rsidRDefault="00B51749" w:rsidP="00B51749">
      <w:pPr>
        <w:pStyle w:val="Bezriadkovania"/>
        <w:jc w:val="both"/>
        <w:rPr>
          <w:rFonts w:ascii="Cambria" w:hAnsi="Cambria"/>
          <w:b/>
          <w:sz w:val="28"/>
          <w:szCs w:val="28"/>
        </w:rPr>
      </w:pPr>
      <w:r w:rsidRPr="00F0732E">
        <w:rPr>
          <w:rStyle w:val="Siln"/>
          <w:rFonts w:ascii="Cambria" w:hAnsi="Cambria"/>
          <w:b w:val="0"/>
          <w:sz w:val="28"/>
          <w:szCs w:val="28"/>
        </w:rPr>
        <w:t xml:space="preserve">Prioritou Slovenskej technickej univerzity v Bratislave bolo zlepšenie a zjednotenie patentovej politiky. Po </w:t>
      </w:r>
      <w:r w:rsidRPr="00F0732E">
        <w:rPr>
          <w:rFonts w:ascii="Cambria" w:hAnsi="Cambria"/>
          <w:sz w:val="28"/>
          <w:szCs w:val="28"/>
        </w:rPr>
        <w:t>zriadení špecializovaného pracoviska Know-how centra STU – Kancelári</w:t>
      </w:r>
      <w:r w:rsidR="00124B79">
        <w:rPr>
          <w:rFonts w:ascii="Cambria" w:hAnsi="Cambria"/>
          <w:sz w:val="28"/>
          <w:szCs w:val="28"/>
        </w:rPr>
        <w:t>e</w:t>
      </w:r>
      <w:r w:rsidRPr="00F0732E">
        <w:rPr>
          <w:rFonts w:ascii="Cambria" w:hAnsi="Cambria"/>
          <w:sz w:val="28"/>
          <w:szCs w:val="28"/>
        </w:rPr>
        <w:t xml:space="preserve"> spolupráce s</w:t>
      </w:r>
      <w:r w:rsidR="00124B79">
        <w:rPr>
          <w:rFonts w:ascii="Cambria" w:hAnsi="Cambria"/>
          <w:sz w:val="28"/>
          <w:szCs w:val="28"/>
        </w:rPr>
        <w:t> </w:t>
      </w:r>
      <w:r w:rsidRPr="00F0732E">
        <w:rPr>
          <w:rFonts w:ascii="Cambria" w:hAnsi="Cambria"/>
          <w:sz w:val="28"/>
          <w:szCs w:val="28"/>
        </w:rPr>
        <w:t>praxou</w:t>
      </w:r>
      <w:r w:rsidR="00124B79">
        <w:rPr>
          <w:rFonts w:ascii="Cambria" w:hAnsi="Cambria"/>
          <w:sz w:val="28"/>
          <w:szCs w:val="28"/>
        </w:rPr>
        <w:t>,</w:t>
      </w:r>
      <w:r w:rsidRPr="00F0732E">
        <w:rPr>
          <w:rFonts w:ascii="Cambria" w:hAnsi="Cambria"/>
          <w:sz w:val="28"/>
          <w:szCs w:val="28"/>
        </w:rPr>
        <w:t xml:space="preserve"> nastali v tejto oblasti postupné zlepšenia. </w:t>
      </w:r>
      <w:r w:rsidRPr="00F0732E">
        <w:rPr>
          <w:rFonts w:ascii="Cambria" w:hAnsi="Cambria"/>
          <w:b/>
          <w:sz w:val="28"/>
          <w:szCs w:val="28"/>
        </w:rPr>
        <w:t xml:space="preserve">Na Úrad priemyselného vlastníctva bolo podaných viac ako 20 patentových prihlášok a prihlášok </w:t>
      </w:r>
      <w:r w:rsidR="00124B79" w:rsidRPr="00F0732E">
        <w:rPr>
          <w:rFonts w:ascii="Cambria" w:hAnsi="Cambria"/>
          <w:b/>
          <w:sz w:val="28"/>
          <w:szCs w:val="28"/>
        </w:rPr>
        <w:t>úžitkových</w:t>
      </w:r>
      <w:r w:rsidRPr="00F0732E">
        <w:rPr>
          <w:rFonts w:ascii="Cambria" w:hAnsi="Cambria"/>
          <w:b/>
          <w:sz w:val="28"/>
          <w:szCs w:val="28"/>
        </w:rPr>
        <w:t xml:space="preserve"> vzorov.</w:t>
      </w:r>
    </w:p>
    <w:p w:rsidR="00B51749" w:rsidRPr="00F0732E" w:rsidRDefault="00B51749" w:rsidP="00B51749">
      <w:pPr>
        <w:pStyle w:val="Bezriadkovania"/>
        <w:rPr>
          <w:rFonts w:ascii="Cambria" w:hAnsi="Cambria"/>
          <w:color w:val="FF0000"/>
          <w:sz w:val="28"/>
          <w:szCs w:val="28"/>
        </w:rPr>
      </w:pPr>
    </w:p>
    <w:p w:rsidR="00B51749" w:rsidRPr="00F0732E" w:rsidRDefault="00B51749" w:rsidP="00B51749">
      <w:pPr>
        <w:pStyle w:val="Bezriadkovania"/>
        <w:jc w:val="both"/>
        <w:rPr>
          <w:rFonts w:ascii="Cambria" w:hAnsi="Cambria"/>
          <w:b/>
          <w:sz w:val="28"/>
          <w:szCs w:val="28"/>
        </w:rPr>
      </w:pPr>
      <w:r w:rsidRPr="00F0732E">
        <w:rPr>
          <w:rFonts w:ascii="Cambria" w:hAnsi="Cambria"/>
          <w:sz w:val="28"/>
          <w:szCs w:val="28"/>
        </w:rPr>
        <w:t xml:space="preserve">Univerzita podporuje transfer poznatkov z laboratórií do praxe aj prostredníctvom spin-off a start-up spoločností. V rámci univerzity v roku 2013 pôsobilo </w:t>
      </w:r>
      <w:r w:rsidRPr="00F0732E">
        <w:rPr>
          <w:rFonts w:ascii="Cambria" w:hAnsi="Cambria"/>
          <w:b/>
          <w:sz w:val="28"/>
          <w:szCs w:val="28"/>
        </w:rPr>
        <w:t>6 spin-off</w:t>
      </w:r>
      <w:r w:rsidRPr="00F0732E">
        <w:rPr>
          <w:rFonts w:ascii="Cambria" w:hAnsi="Cambria"/>
          <w:sz w:val="28"/>
          <w:szCs w:val="28"/>
        </w:rPr>
        <w:t xml:space="preserve"> spoločností. V Univerzitnom technologickom inkubátore v roku 2014 pribudli </w:t>
      </w:r>
      <w:r w:rsidRPr="00F0732E">
        <w:rPr>
          <w:rFonts w:ascii="Cambria" w:hAnsi="Cambria"/>
          <w:b/>
          <w:sz w:val="28"/>
          <w:szCs w:val="28"/>
        </w:rPr>
        <w:t>4 noví frekventanti v Start-up kancelárii</w:t>
      </w:r>
      <w:r w:rsidR="00124B79">
        <w:rPr>
          <w:rFonts w:ascii="Cambria" w:hAnsi="Cambria"/>
          <w:sz w:val="28"/>
          <w:szCs w:val="28"/>
        </w:rPr>
        <w:t xml:space="preserve">. V priestoroch inkubátora </w:t>
      </w:r>
      <w:r w:rsidRPr="00F0732E">
        <w:rPr>
          <w:rFonts w:ascii="Cambria" w:hAnsi="Cambria"/>
          <w:sz w:val="28"/>
          <w:szCs w:val="28"/>
        </w:rPr>
        <w:t>pôsobilo počas roka 8 inkubovaných firiem.</w:t>
      </w:r>
      <w:r w:rsidRPr="00F0732E">
        <w:rPr>
          <w:rFonts w:ascii="Cambria" w:hAnsi="Cambria"/>
          <w:b/>
          <w:sz w:val="28"/>
          <w:szCs w:val="28"/>
        </w:rPr>
        <w:t xml:space="preserve"> </w:t>
      </w:r>
    </w:p>
    <w:p w:rsidR="00B51749" w:rsidRPr="00F0732E" w:rsidRDefault="00B51749" w:rsidP="00B51749">
      <w:pPr>
        <w:pStyle w:val="Bezriadkovania"/>
        <w:jc w:val="both"/>
        <w:rPr>
          <w:rStyle w:val="Siln"/>
          <w:rFonts w:ascii="Cambria" w:hAnsi="Cambria"/>
          <w:color w:val="FF0000"/>
          <w:sz w:val="28"/>
          <w:szCs w:val="28"/>
        </w:rPr>
      </w:pPr>
    </w:p>
    <w:p w:rsidR="00B51749" w:rsidRPr="00F0732E" w:rsidRDefault="00B51749" w:rsidP="00B51749">
      <w:pPr>
        <w:pStyle w:val="Default"/>
        <w:jc w:val="both"/>
        <w:rPr>
          <w:color w:val="FF0000"/>
          <w:sz w:val="28"/>
          <w:szCs w:val="28"/>
          <w:lang w:val="sk-SK"/>
        </w:rPr>
      </w:pPr>
      <w:r w:rsidRPr="00F0732E">
        <w:rPr>
          <w:rFonts w:ascii="Cambria" w:hAnsi="Cambria" w:cs="Times New Roman"/>
          <w:color w:val="auto"/>
          <w:sz w:val="28"/>
          <w:szCs w:val="28"/>
          <w:lang w:val="sk-SK"/>
        </w:rPr>
        <w:t xml:space="preserve">V oblasti zamestnanosti sa medziročne znížil celkový </w:t>
      </w:r>
      <w:r w:rsidRPr="00F0732E">
        <w:rPr>
          <w:rFonts w:ascii="Cambria" w:hAnsi="Cambria" w:cs="Times New Roman"/>
          <w:b/>
          <w:color w:val="auto"/>
          <w:sz w:val="28"/>
          <w:szCs w:val="28"/>
          <w:lang w:val="sk-SK"/>
        </w:rPr>
        <w:t>počet zamestnancov univerzity</w:t>
      </w:r>
      <w:r w:rsidRPr="00F0732E">
        <w:rPr>
          <w:rFonts w:ascii="Cambria" w:hAnsi="Cambria" w:cs="Times New Roman"/>
          <w:color w:val="auto"/>
          <w:sz w:val="28"/>
          <w:szCs w:val="28"/>
          <w:lang w:val="sk-SK"/>
        </w:rPr>
        <w:t xml:space="preserve">, pričom ale došlo aj k zníženiu počtu </w:t>
      </w:r>
      <w:r w:rsidRPr="00F0732E">
        <w:rPr>
          <w:rFonts w:ascii="Cambria" w:hAnsi="Cambria" w:cs="Times New Roman"/>
          <w:b/>
          <w:color w:val="auto"/>
          <w:sz w:val="28"/>
          <w:szCs w:val="28"/>
          <w:lang w:val="sk-SK"/>
        </w:rPr>
        <w:t xml:space="preserve">vysokoškolských učiteľov a  vedeckovýskumných pracovníkov. </w:t>
      </w:r>
      <w:r w:rsidR="00440AB3">
        <w:rPr>
          <w:rFonts w:ascii="Cambria" w:hAnsi="Cambria" w:cs="Times New Roman"/>
          <w:color w:val="auto"/>
          <w:sz w:val="28"/>
          <w:szCs w:val="28"/>
          <w:lang w:val="sk-SK"/>
        </w:rPr>
        <w:t>Zastavil sa tak</w:t>
      </w:r>
      <w:r w:rsidRPr="00F0732E">
        <w:rPr>
          <w:rFonts w:ascii="Cambria" w:hAnsi="Cambria" w:cs="Times New Roman"/>
          <w:color w:val="auto"/>
          <w:sz w:val="28"/>
          <w:szCs w:val="28"/>
          <w:lang w:val="sk-SK"/>
        </w:rPr>
        <w:t xml:space="preserve"> trend</w:t>
      </w:r>
      <w:r w:rsidR="00440AB3">
        <w:rPr>
          <w:rFonts w:ascii="Cambria" w:hAnsi="Cambria" w:cs="Times New Roman"/>
          <w:color w:val="auto"/>
          <w:sz w:val="28"/>
          <w:szCs w:val="28"/>
          <w:lang w:val="sk-SK"/>
        </w:rPr>
        <w:t xml:space="preserve"> posledných rokov</w:t>
      </w:r>
      <w:r w:rsidRPr="00F0732E">
        <w:rPr>
          <w:rFonts w:ascii="Cambria" w:hAnsi="Cambria" w:cs="Times New Roman"/>
          <w:color w:val="auto"/>
          <w:sz w:val="28"/>
          <w:szCs w:val="28"/>
          <w:lang w:val="sk-SK"/>
        </w:rPr>
        <w:t>, keď na škole síce klesal počet zamestnancov, ale nie na úkor učiteľov a výskumných pracovníkov.</w:t>
      </w:r>
      <w:r w:rsidR="00440AB3">
        <w:rPr>
          <w:rFonts w:ascii="Cambria" w:hAnsi="Cambria" w:cs="Times New Roman"/>
          <w:color w:val="auto"/>
          <w:sz w:val="28"/>
          <w:szCs w:val="28"/>
          <w:lang w:val="sk-SK"/>
        </w:rPr>
        <w:t xml:space="preserve"> Ich počet rástol.</w:t>
      </w:r>
      <w:r w:rsidRPr="00F0732E">
        <w:rPr>
          <w:rFonts w:ascii="Cambria" w:hAnsi="Cambria" w:cs="Times New Roman"/>
          <w:color w:val="auto"/>
          <w:sz w:val="28"/>
          <w:szCs w:val="28"/>
          <w:lang w:val="sk-SK"/>
        </w:rPr>
        <w:t xml:space="preserve"> </w:t>
      </w:r>
    </w:p>
    <w:p w:rsidR="00B51749" w:rsidRPr="00F0732E" w:rsidRDefault="00B51749" w:rsidP="00B51749">
      <w:pPr>
        <w:rPr>
          <w:color w:val="FF0000"/>
          <w:sz w:val="28"/>
          <w:szCs w:val="28"/>
        </w:rPr>
      </w:pPr>
    </w:p>
    <w:p w:rsidR="00B51749" w:rsidRPr="00F0732E" w:rsidRDefault="00B51749" w:rsidP="00B51749">
      <w:pPr>
        <w:pStyle w:val="Nadpis1"/>
        <w:rPr>
          <w:rFonts w:ascii="Cambria" w:hAnsi="Cambria"/>
          <w:color w:val="auto"/>
          <w:sz w:val="28"/>
          <w:szCs w:val="28"/>
        </w:rPr>
      </w:pPr>
      <w:bookmarkStart w:id="80" w:name="_Toc413009376"/>
      <w:r w:rsidRPr="00F0732E">
        <w:rPr>
          <w:rFonts w:ascii="Cambria" w:hAnsi="Cambria"/>
          <w:color w:val="auto"/>
          <w:sz w:val="28"/>
          <w:szCs w:val="28"/>
        </w:rPr>
        <w:t>Prílohy a tabuľky</w:t>
      </w:r>
      <w:bookmarkEnd w:id="80"/>
    </w:p>
    <w:p w:rsidR="00B51749" w:rsidRPr="00F0732E" w:rsidRDefault="00B51749" w:rsidP="00B51749">
      <w:pPr>
        <w:pStyle w:val="Odsekzoznamu"/>
        <w:spacing w:line="240" w:lineRule="auto"/>
        <w:rPr>
          <w:rFonts w:ascii="Cambria" w:hAnsi="Cambria"/>
          <w:b/>
          <w:bCs/>
          <w:color w:val="FF0000"/>
          <w:sz w:val="28"/>
          <w:szCs w:val="28"/>
        </w:rPr>
      </w:pPr>
    </w:p>
    <w:p w:rsidR="00B51749" w:rsidRPr="00F0732E" w:rsidRDefault="00B51749" w:rsidP="00B51749">
      <w:pPr>
        <w:jc w:val="center"/>
        <w:rPr>
          <w:color w:val="FF0000"/>
          <w:sz w:val="28"/>
          <w:szCs w:val="28"/>
        </w:rPr>
      </w:pPr>
    </w:p>
    <w:p w:rsidR="00D327A7" w:rsidRDefault="00D327A7"/>
    <w:sectPr w:rsidR="00D327A7" w:rsidSect="00447572">
      <w:headerReference w:type="default" r:id="rId64"/>
      <w:footerReference w:type="default" r:id="rId65"/>
      <w:type w:val="continuous"/>
      <w:pgSz w:w="11900" w:h="16840"/>
      <w:pgMar w:top="2127"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15" w:rsidRDefault="00961615" w:rsidP="00B51749">
      <w:r>
        <w:separator/>
      </w:r>
    </w:p>
  </w:endnote>
  <w:endnote w:type="continuationSeparator" w:id="0">
    <w:p w:rsidR="00961615" w:rsidRDefault="00961615" w:rsidP="00B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3B" w:rsidRPr="00DB5EEE" w:rsidRDefault="0067123B" w:rsidP="00447572">
    <w:pPr>
      <w:pStyle w:val="Pta"/>
      <w:framePr w:wrap="around" w:vAnchor="text" w:hAnchor="margin" w:xAlign="right" w:y="1"/>
      <w:rPr>
        <w:rStyle w:val="slostrany"/>
      </w:rPr>
    </w:pPr>
    <w:r w:rsidRPr="00DB5EEE">
      <w:rPr>
        <w:rStyle w:val="slostrany"/>
      </w:rPr>
      <w:fldChar w:fldCharType="begin"/>
    </w:r>
    <w:r w:rsidRPr="00DB5EEE">
      <w:rPr>
        <w:rStyle w:val="slostrany"/>
      </w:rPr>
      <w:instrText xml:space="preserve">PAGE  </w:instrText>
    </w:r>
    <w:r w:rsidRPr="00DB5EEE">
      <w:rPr>
        <w:rStyle w:val="slostrany"/>
      </w:rPr>
      <w:fldChar w:fldCharType="separate"/>
    </w:r>
    <w:r w:rsidR="007D46CC">
      <w:rPr>
        <w:rStyle w:val="slostrany"/>
        <w:noProof/>
      </w:rPr>
      <w:t>1</w:t>
    </w:r>
    <w:r w:rsidRPr="00DB5EEE">
      <w:rPr>
        <w:rStyle w:val="slostrany"/>
      </w:rPr>
      <w:fldChar w:fldCharType="end"/>
    </w:r>
  </w:p>
  <w:p w:rsidR="0067123B" w:rsidRDefault="0067123B" w:rsidP="0044757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3B" w:rsidRPr="00FB0411" w:rsidRDefault="0067123B" w:rsidP="00447572">
    <w:pPr>
      <w:pStyle w:val="Pta"/>
      <w:jc w:val="right"/>
    </w:pPr>
    <w:r>
      <w:fldChar w:fldCharType="begin"/>
    </w:r>
    <w:r>
      <w:instrText xml:space="preserve"> PAGE   \* MERGEFORMAT </w:instrText>
    </w:r>
    <w:r>
      <w:fldChar w:fldCharType="separate"/>
    </w:r>
    <w:r w:rsidR="007D46CC">
      <w:rPr>
        <w:noProof/>
      </w:rPr>
      <w:t>136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15" w:rsidRDefault="00961615" w:rsidP="00B51749">
      <w:r>
        <w:separator/>
      </w:r>
    </w:p>
  </w:footnote>
  <w:footnote w:type="continuationSeparator" w:id="0">
    <w:p w:rsidR="00961615" w:rsidRDefault="00961615" w:rsidP="00B51749">
      <w:r>
        <w:continuationSeparator/>
      </w:r>
    </w:p>
  </w:footnote>
  <w:footnote w:id="1">
    <w:p w:rsidR="0067123B" w:rsidRDefault="0067123B" w:rsidP="00B51749">
      <w:pPr>
        <w:pStyle w:val="Textpoznmkypodiarou"/>
      </w:pPr>
      <w:r>
        <w:rPr>
          <w:rStyle w:val="Odkaznapoznmkupodiarou"/>
        </w:rPr>
        <w:footnoteRef/>
      </w:r>
      <w:r>
        <w:t xml:space="preserve"> Údaje získané softvérovým produktom SciVal z databázy SCOPUS ku dňu 4. 12. 2014.</w:t>
      </w:r>
    </w:p>
  </w:footnote>
  <w:footnote w:id="2">
    <w:p w:rsidR="0067123B" w:rsidRDefault="0067123B" w:rsidP="00B51749">
      <w:pPr>
        <w:pStyle w:val="Textpoznmkypodiarou"/>
      </w:pPr>
      <w:r>
        <w:rPr>
          <w:rStyle w:val="Odkaznapoznmkupodiarou"/>
        </w:rPr>
        <w:footnoteRef/>
      </w:r>
      <w:r>
        <w:t xml:space="preserve"> Kategória C (publikácie v databázach SCOPUS a WOS) sa evidujú iba od roku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3B" w:rsidRDefault="007D46CC" w:rsidP="00447572">
    <w:pPr>
      <w:pStyle w:val="Hlavika"/>
      <w:ind w:left="-1276"/>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115570</wp:posOffset>
              </wp:positionV>
              <wp:extent cx="3917950" cy="584200"/>
              <wp:effectExtent l="0" t="0" r="0" b="6350"/>
              <wp:wrapNone/>
              <wp:docPr id="52" name="Blok text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txbx>
                      <w:txbxContent>
                        <w:p w:rsidR="0067123B" w:rsidRPr="00C97C6D" w:rsidRDefault="0067123B" w:rsidP="00447572">
                          <w:pPr>
                            <w:jc w:val="right"/>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52" o:spid="_x0000_s1030" type="#_x0000_t202" style="position:absolute;left:0;text-align:left;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" filled="f" stroked="f">
              <v:path arrowok="t"/>
              <v:textbox>
                <w:txbxContent>
                  <w:p w:rsidR="0067123B" w:rsidRPr="00C97C6D" w:rsidRDefault="0067123B" w:rsidP="00447572">
                    <w:pPr>
                      <w:jc w:val="right"/>
                      <w:rPr>
                        <w:rFonts w:ascii="Calibri" w:hAnsi="Calibri"/>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DA"/>
    <w:multiLevelType w:val="hybridMultilevel"/>
    <w:tmpl w:val="63AACA14"/>
    <w:lvl w:ilvl="0" w:tplc="914C9F06">
      <w:start w:val="1"/>
      <w:numFmt w:val="bullet"/>
      <w:lvlText w:val="-"/>
      <w:lvlJc w:val="left"/>
      <w:pPr>
        <w:tabs>
          <w:tab w:val="num" w:pos="170"/>
        </w:tabs>
        <w:ind w:left="170" w:hanging="170"/>
      </w:pPr>
      <w:rPr>
        <w:rFonts w:ascii="Times New Roman" w:eastAsia="Times New Roman" w:hAnsi="Times New Roman" w:hint="default"/>
      </w:rPr>
    </w:lvl>
    <w:lvl w:ilvl="1" w:tplc="85801F9E">
      <w:start w:val="1"/>
      <w:numFmt w:val="bullet"/>
      <w:lvlText w:val="-"/>
      <w:lvlJc w:val="left"/>
      <w:pPr>
        <w:tabs>
          <w:tab w:val="num" w:pos="1250"/>
        </w:tabs>
        <w:ind w:left="1247" w:hanging="167"/>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A300C4C"/>
    <w:multiLevelType w:val="hybridMultilevel"/>
    <w:tmpl w:val="EC2E4E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0CFA01ED"/>
    <w:multiLevelType w:val="multilevel"/>
    <w:tmpl w:val="02ACBB2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29A5396"/>
    <w:multiLevelType w:val="hybridMultilevel"/>
    <w:tmpl w:val="ADB8F4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7136BEA"/>
    <w:multiLevelType w:val="hybridMultilevel"/>
    <w:tmpl w:val="623CFD8E"/>
    <w:lvl w:ilvl="0" w:tplc="B6BA92DC">
      <w:start w:val="1"/>
      <w:numFmt w:val="decimal"/>
      <w:lvlText w:val="(%1)"/>
      <w:lvlJc w:val="left"/>
      <w:pPr>
        <w:ind w:left="1017" w:hanging="720"/>
      </w:pPr>
      <w:rPr>
        <w:rFonts w:ascii="Calibri" w:eastAsia="Calibri" w:hAnsi="Calibri" w:hint="default"/>
        <w:spacing w:val="-1"/>
        <w:w w:val="100"/>
        <w:sz w:val="24"/>
        <w:szCs w:val="24"/>
      </w:rPr>
    </w:lvl>
    <w:lvl w:ilvl="1" w:tplc="99CC8E08">
      <w:start w:val="1"/>
      <w:numFmt w:val="lowerLetter"/>
      <w:lvlText w:val="%2)"/>
      <w:lvlJc w:val="left"/>
      <w:pPr>
        <w:ind w:left="2294" w:hanging="569"/>
      </w:pPr>
      <w:rPr>
        <w:rFonts w:ascii="Calibri" w:eastAsia="Calibri" w:hAnsi="Calibri" w:hint="default"/>
        <w:w w:val="100"/>
        <w:sz w:val="24"/>
        <w:szCs w:val="24"/>
      </w:rPr>
    </w:lvl>
    <w:lvl w:ilvl="2" w:tplc="5030A11C">
      <w:start w:val="1"/>
      <w:numFmt w:val="bullet"/>
      <w:lvlText w:val="•"/>
      <w:lvlJc w:val="left"/>
      <w:pPr>
        <w:ind w:left="3225" w:hanging="569"/>
      </w:pPr>
    </w:lvl>
    <w:lvl w:ilvl="3" w:tplc="30DCF594">
      <w:start w:val="1"/>
      <w:numFmt w:val="bullet"/>
      <w:lvlText w:val="•"/>
      <w:lvlJc w:val="left"/>
      <w:pPr>
        <w:ind w:left="4150" w:hanging="569"/>
      </w:pPr>
    </w:lvl>
    <w:lvl w:ilvl="4" w:tplc="D8F86018">
      <w:start w:val="1"/>
      <w:numFmt w:val="bullet"/>
      <w:lvlText w:val="•"/>
      <w:lvlJc w:val="left"/>
      <w:pPr>
        <w:ind w:left="5075" w:hanging="569"/>
      </w:pPr>
    </w:lvl>
    <w:lvl w:ilvl="5" w:tplc="0824B636">
      <w:start w:val="1"/>
      <w:numFmt w:val="bullet"/>
      <w:lvlText w:val="•"/>
      <w:lvlJc w:val="left"/>
      <w:pPr>
        <w:ind w:left="6000" w:hanging="569"/>
      </w:pPr>
    </w:lvl>
    <w:lvl w:ilvl="6" w:tplc="D7EAA382">
      <w:start w:val="1"/>
      <w:numFmt w:val="bullet"/>
      <w:lvlText w:val="•"/>
      <w:lvlJc w:val="left"/>
      <w:pPr>
        <w:ind w:left="6925" w:hanging="569"/>
      </w:pPr>
    </w:lvl>
    <w:lvl w:ilvl="7" w:tplc="28326230">
      <w:start w:val="1"/>
      <w:numFmt w:val="bullet"/>
      <w:lvlText w:val="•"/>
      <w:lvlJc w:val="left"/>
      <w:pPr>
        <w:ind w:left="7850" w:hanging="569"/>
      </w:pPr>
    </w:lvl>
    <w:lvl w:ilvl="8" w:tplc="27BE3220">
      <w:start w:val="1"/>
      <w:numFmt w:val="bullet"/>
      <w:lvlText w:val="•"/>
      <w:lvlJc w:val="left"/>
      <w:pPr>
        <w:ind w:left="8776" w:hanging="569"/>
      </w:pPr>
    </w:lvl>
  </w:abstractNum>
  <w:abstractNum w:abstractNumId="5">
    <w:nsid w:val="239076B2"/>
    <w:multiLevelType w:val="hybridMultilevel"/>
    <w:tmpl w:val="D368FC6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nsid w:val="23B4661A"/>
    <w:multiLevelType w:val="hybridMultilevel"/>
    <w:tmpl w:val="1460FD92"/>
    <w:lvl w:ilvl="0" w:tplc="3CDC269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9DD4516"/>
    <w:multiLevelType w:val="hybridMultilevel"/>
    <w:tmpl w:val="26AE3E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31DC6EF4"/>
    <w:multiLevelType w:val="hybridMultilevel"/>
    <w:tmpl w:val="B4EC60AE"/>
    <w:lvl w:ilvl="0" w:tplc="B6BA92DC">
      <w:start w:val="1"/>
      <w:numFmt w:val="decimal"/>
      <w:lvlText w:val="(%1)"/>
      <w:lvlJc w:val="left"/>
      <w:pPr>
        <w:ind w:left="1017" w:hanging="720"/>
      </w:pPr>
      <w:rPr>
        <w:rFonts w:ascii="Calibri" w:eastAsia="Calibri" w:hAnsi="Calibri" w:hint="default"/>
        <w:spacing w:val="-1"/>
        <w:w w:val="100"/>
        <w:sz w:val="24"/>
        <w:szCs w:val="24"/>
      </w:rPr>
    </w:lvl>
    <w:lvl w:ilvl="1" w:tplc="041B0017">
      <w:start w:val="1"/>
      <w:numFmt w:val="lowerLetter"/>
      <w:lvlText w:val="%2)"/>
      <w:lvlJc w:val="left"/>
      <w:pPr>
        <w:ind w:left="2294" w:hanging="569"/>
      </w:pPr>
      <w:rPr>
        <w:w w:val="100"/>
        <w:sz w:val="24"/>
        <w:szCs w:val="24"/>
      </w:rPr>
    </w:lvl>
    <w:lvl w:ilvl="2" w:tplc="5030A11C">
      <w:start w:val="1"/>
      <w:numFmt w:val="bullet"/>
      <w:lvlText w:val="•"/>
      <w:lvlJc w:val="left"/>
      <w:pPr>
        <w:ind w:left="3225" w:hanging="569"/>
      </w:pPr>
    </w:lvl>
    <w:lvl w:ilvl="3" w:tplc="30DCF594">
      <w:start w:val="1"/>
      <w:numFmt w:val="bullet"/>
      <w:lvlText w:val="•"/>
      <w:lvlJc w:val="left"/>
      <w:pPr>
        <w:ind w:left="4150" w:hanging="569"/>
      </w:pPr>
    </w:lvl>
    <w:lvl w:ilvl="4" w:tplc="D8F86018">
      <w:start w:val="1"/>
      <w:numFmt w:val="bullet"/>
      <w:lvlText w:val="•"/>
      <w:lvlJc w:val="left"/>
      <w:pPr>
        <w:ind w:left="5075" w:hanging="569"/>
      </w:pPr>
    </w:lvl>
    <w:lvl w:ilvl="5" w:tplc="0824B636">
      <w:start w:val="1"/>
      <w:numFmt w:val="bullet"/>
      <w:lvlText w:val="•"/>
      <w:lvlJc w:val="left"/>
      <w:pPr>
        <w:ind w:left="6000" w:hanging="569"/>
      </w:pPr>
    </w:lvl>
    <w:lvl w:ilvl="6" w:tplc="D7EAA382">
      <w:start w:val="1"/>
      <w:numFmt w:val="bullet"/>
      <w:lvlText w:val="•"/>
      <w:lvlJc w:val="left"/>
      <w:pPr>
        <w:ind w:left="6925" w:hanging="569"/>
      </w:pPr>
    </w:lvl>
    <w:lvl w:ilvl="7" w:tplc="28326230">
      <w:start w:val="1"/>
      <w:numFmt w:val="bullet"/>
      <w:lvlText w:val="•"/>
      <w:lvlJc w:val="left"/>
      <w:pPr>
        <w:ind w:left="7850" w:hanging="569"/>
      </w:pPr>
    </w:lvl>
    <w:lvl w:ilvl="8" w:tplc="27BE3220">
      <w:start w:val="1"/>
      <w:numFmt w:val="bullet"/>
      <w:lvlText w:val="•"/>
      <w:lvlJc w:val="left"/>
      <w:pPr>
        <w:ind w:left="8776" w:hanging="569"/>
      </w:pPr>
    </w:lvl>
  </w:abstractNum>
  <w:abstractNum w:abstractNumId="9">
    <w:nsid w:val="340B4EBE"/>
    <w:multiLevelType w:val="hybridMultilevel"/>
    <w:tmpl w:val="27DE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4A2667D"/>
    <w:multiLevelType w:val="hybridMultilevel"/>
    <w:tmpl w:val="4D66D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A9F17D7"/>
    <w:multiLevelType w:val="hybridMultilevel"/>
    <w:tmpl w:val="840C2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C32F0F"/>
    <w:multiLevelType w:val="hybridMultilevel"/>
    <w:tmpl w:val="CD3E4F54"/>
    <w:lvl w:ilvl="0" w:tplc="041B0001">
      <w:start w:val="1"/>
      <w:numFmt w:val="bullet"/>
      <w:lvlText w:val=""/>
      <w:lvlJc w:val="left"/>
      <w:pPr>
        <w:ind w:left="890" w:hanging="360"/>
      </w:pPr>
      <w:rPr>
        <w:rFonts w:ascii="Symbol" w:hAnsi="Symbol"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13">
    <w:nsid w:val="457423C1"/>
    <w:multiLevelType w:val="hybridMultilevel"/>
    <w:tmpl w:val="DD14ED00"/>
    <w:lvl w:ilvl="0" w:tplc="C3F070DA">
      <w:start w:val="1"/>
      <w:numFmt w:val="decimal"/>
      <w:lvlText w:val="(%1)"/>
      <w:lvlJc w:val="left"/>
      <w:pPr>
        <w:ind w:left="1017" w:hanging="708"/>
      </w:pPr>
      <w:rPr>
        <w:rFonts w:ascii="Calibri" w:eastAsia="Calibri" w:hAnsi="Calibri" w:hint="default"/>
        <w:color w:val="1F221E"/>
        <w:spacing w:val="-1"/>
        <w:w w:val="100"/>
        <w:sz w:val="24"/>
        <w:szCs w:val="24"/>
      </w:rPr>
    </w:lvl>
    <w:lvl w:ilvl="1" w:tplc="C400CD28">
      <w:start w:val="1"/>
      <w:numFmt w:val="lowerLetter"/>
      <w:lvlText w:val="%2)"/>
      <w:lvlJc w:val="left"/>
      <w:pPr>
        <w:ind w:left="2294" w:hanging="569"/>
      </w:pPr>
      <w:rPr>
        <w:rFonts w:ascii="Calibri" w:eastAsia="Calibri" w:hAnsi="Calibri" w:hint="default"/>
        <w:color w:val="1F221E"/>
        <w:spacing w:val="-1"/>
        <w:w w:val="100"/>
        <w:sz w:val="22"/>
        <w:szCs w:val="22"/>
      </w:rPr>
    </w:lvl>
    <w:lvl w:ilvl="2" w:tplc="2488FB8E">
      <w:start w:val="1"/>
      <w:numFmt w:val="bullet"/>
      <w:lvlText w:val="•"/>
      <w:lvlJc w:val="left"/>
      <w:pPr>
        <w:ind w:left="3225" w:hanging="569"/>
      </w:pPr>
    </w:lvl>
    <w:lvl w:ilvl="3" w:tplc="20DE2A32">
      <w:start w:val="1"/>
      <w:numFmt w:val="bullet"/>
      <w:lvlText w:val="•"/>
      <w:lvlJc w:val="left"/>
      <w:pPr>
        <w:ind w:left="4150" w:hanging="569"/>
      </w:pPr>
    </w:lvl>
    <w:lvl w:ilvl="4" w:tplc="12324CFA">
      <w:start w:val="1"/>
      <w:numFmt w:val="bullet"/>
      <w:lvlText w:val="•"/>
      <w:lvlJc w:val="left"/>
      <w:pPr>
        <w:ind w:left="5075" w:hanging="569"/>
      </w:pPr>
    </w:lvl>
    <w:lvl w:ilvl="5" w:tplc="939C54BA">
      <w:start w:val="1"/>
      <w:numFmt w:val="bullet"/>
      <w:lvlText w:val="•"/>
      <w:lvlJc w:val="left"/>
      <w:pPr>
        <w:ind w:left="6000" w:hanging="569"/>
      </w:pPr>
    </w:lvl>
    <w:lvl w:ilvl="6" w:tplc="E7A676D6">
      <w:start w:val="1"/>
      <w:numFmt w:val="bullet"/>
      <w:lvlText w:val="•"/>
      <w:lvlJc w:val="left"/>
      <w:pPr>
        <w:ind w:left="6925" w:hanging="569"/>
      </w:pPr>
    </w:lvl>
    <w:lvl w:ilvl="7" w:tplc="94121BB8">
      <w:start w:val="1"/>
      <w:numFmt w:val="bullet"/>
      <w:lvlText w:val="•"/>
      <w:lvlJc w:val="left"/>
      <w:pPr>
        <w:ind w:left="7850" w:hanging="569"/>
      </w:pPr>
    </w:lvl>
    <w:lvl w:ilvl="8" w:tplc="AEAA2156">
      <w:start w:val="1"/>
      <w:numFmt w:val="bullet"/>
      <w:lvlText w:val="•"/>
      <w:lvlJc w:val="left"/>
      <w:pPr>
        <w:ind w:left="8776" w:hanging="569"/>
      </w:pPr>
    </w:lvl>
  </w:abstractNum>
  <w:abstractNum w:abstractNumId="14">
    <w:nsid w:val="48B03E22"/>
    <w:multiLevelType w:val="hybridMultilevel"/>
    <w:tmpl w:val="A3C657EC"/>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nsid w:val="4A0A3256"/>
    <w:multiLevelType w:val="hybridMultilevel"/>
    <w:tmpl w:val="778A676A"/>
    <w:lvl w:ilvl="0" w:tplc="2FDEE04E">
      <w:start w:val="1"/>
      <w:numFmt w:val="bullet"/>
      <w:lvlText w:val="-"/>
      <w:lvlJc w:val="left"/>
      <w:pPr>
        <w:ind w:left="167" w:hanging="167"/>
      </w:pPr>
      <w:rPr>
        <w:rFonts w:ascii="Times New Roman" w:eastAsia="Times New Roman" w:hAnsi="Times New Roman" w:cs="Times New Roman" w:hint="default"/>
      </w:rPr>
    </w:lvl>
    <w:lvl w:ilvl="1" w:tplc="041B0003" w:tentative="1">
      <w:start w:val="1"/>
      <w:numFmt w:val="bullet"/>
      <w:lvlText w:val="o"/>
      <w:lvlJc w:val="left"/>
      <w:pPr>
        <w:tabs>
          <w:tab w:val="num" w:pos="76"/>
        </w:tabs>
        <w:ind w:left="76" w:hanging="360"/>
      </w:pPr>
      <w:rPr>
        <w:rFonts w:ascii="Courier New" w:hAnsi="Courier New" w:hint="default"/>
      </w:rPr>
    </w:lvl>
    <w:lvl w:ilvl="2" w:tplc="041B0005" w:tentative="1">
      <w:start w:val="1"/>
      <w:numFmt w:val="bullet"/>
      <w:lvlText w:val=""/>
      <w:lvlJc w:val="left"/>
      <w:pPr>
        <w:tabs>
          <w:tab w:val="num" w:pos="796"/>
        </w:tabs>
        <w:ind w:left="796" w:hanging="360"/>
      </w:pPr>
      <w:rPr>
        <w:rFonts w:ascii="Wingdings" w:hAnsi="Wingdings" w:hint="default"/>
      </w:rPr>
    </w:lvl>
    <w:lvl w:ilvl="3" w:tplc="041B0001" w:tentative="1">
      <w:start w:val="1"/>
      <w:numFmt w:val="bullet"/>
      <w:lvlText w:val=""/>
      <w:lvlJc w:val="left"/>
      <w:pPr>
        <w:tabs>
          <w:tab w:val="num" w:pos="1516"/>
        </w:tabs>
        <w:ind w:left="1516" w:hanging="360"/>
      </w:pPr>
      <w:rPr>
        <w:rFonts w:ascii="Symbol" w:hAnsi="Symbol" w:hint="default"/>
      </w:rPr>
    </w:lvl>
    <w:lvl w:ilvl="4" w:tplc="041B0003" w:tentative="1">
      <w:start w:val="1"/>
      <w:numFmt w:val="bullet"/>
      <w:lvlText w:val="o"/>
      <w:lvlJc w:val="left"/>
      <w:pPr>
        <w:tabs>
          <w:tab w:val="num" w:pos="2236"/>
        </w:tabs>
        <w:ind w:left="2236" w:hanging="360"/>
      </w:pPr>
      <w:rPr>
        <w:rFonts w:ascii="Courier New" w:hAnsi="Courier New" w:hint="default"/>
      </w:rPr>
    </w:lvl>
    <w:lvl w:ilvl="5" w:tplc="041B0005" w:tentative="1">
      <w:start w:val="1"/>
      <w:numFmt w:val="bullet"/>
      <w:lvlText w:val=""/>
      <w:lvlJc w:val="left"/>
      <w:pPr>
        <w:tabs>
          <w:tab w:val="num" w:pos="2956"/>
        </w:tabs>
        <w:ind w:left="2956" w:hanging="360"/>
      </w:pPr>
      <w:rPr>
        <w:rFonts w:ascii="Wingdings" w:hAnsi="Wingdings" w:hint="default"/>
      </w:rPr>
    </w:lvl>
    <w:lvl w:ilvl="6" w:tplc="041B0001" w:tentative="1">
      <w:start w:val="1"/>
      <w:numFmt w:val="bullet"/>
      <w:lvlText w:val=""/>
      <w:lvlJc w:val="left"/>
      <w:pPr>
        <w:tabs>
          <w:tab w:val="num" w:pos="3676"/>
        </w:tabs>
        <w:ind w:left="3676" w:hanging="360"/>
      </w:pPr>
      <w:rPr>
        <w:rFonts w:ascii="Symbol" w:hAnsi="Symbol" w:hint="default"/>
      </w:rPr>
    </w:lvl>
    <w:lvl w:ilvl="7" w:tplc="041B0003" w:tentative="1">
      <w:start w:val="1"/>
      <w:numFmt w:val="bullet"/>
      <w:lvlText w:val="o"/>
      <w:lvlJc w:val="left"/>
      <w:pPr>
        <w:tabs>
          <w:tab w:val="num" w:pos="4396"/>
        </w:tabs>
        <w:ind w:left="4396" w:hanging="360"/>
      </w:pPr>
      <w:rPr>
        <w:rFonts w:ascii="Courier New" w:hAnsi="Courier New" w:hint="default"/>
      </w:rPr>
    </w:lvl>
    <w:lvl w:ilvl="8" w:tplc="041B0005" w:tentative="1">
      <w:start w:val="1"/>
      <w:numFmt w:val="bullet"/>
      <w:lvlText w:val=""/>
      <w:lvlJc w:val="left"/>
      <w:pPr>
        <w:tabs>
          <w:tab w:val="num" w:pos="5116"/>
        </w:tabs>
        <w:ind w:left="5116" w:hanging="360"/>
      </w:pPr>
      <w:rPr>
        <w:rFonts w:ascii="Wingdings" w:hAnsi="Wingdings" w:hint="default"/>
      </w:rPr>
    </w:lvl>
  </w:abstractNum>
  <w:abstractNum w:abstractNumId="16">
    <w:nsid w:val="4B0B22EA"/>
    <w:multiLevelType w:val="hybridMultilevel"/>
    <w:tmpl w:val="B58675BA"/>
    <w:lvl w:ilvl="0" w:tplc="85801F9E">
      <w:start w:val="1"/>
      <w:numFmt w:val="bullet"/>
      <w:lvlText w:val="-"/>
      <w:lvlJc w:val="left"/>
      <w:pPr>
        <w:tabs>
          <w:tab w:val="num" w:pos="170"/>
        </w:tabs>
        <w:ind w:left="167" w:hanging="167"/>
      </w:pPr>
      <w:rPr>
        <w:rFonts w:ascii="Times New Roman" w:eastAsia="Times New Roman" w:hAnsi="Times New Roman" w:hint="default"/>
      </w:rPr>
    </w:lvl>
    <w:lvl w:ilvl="1" w:tplc="041B0003" w:tentative="1">
      <w:start w:val="1"/>
      <w:numFmt w:val="bullet"/>
      <w:lvlText w:val="o"/>
      <w:lvlJc w:val="left"/>
      <w:pPr>
        <w:tabs>
          <w:tab w:val="num" w:pos="76"/>
        </w:tabs>
        <w:ind w:left="76" w:hanging="360"/>
      </w:pPr>
      <w:rPr>
        <w:rFonts w:ascii="Courier New" w:hAnsi="Courier New" w:hint="default"/>
      </w:rPr>
    </w:lvl>
    <w:lvl w:ilvl="2" w:tplc="041B0005" w:tentative="1">
      <w:start w:val="1"/>
      <w:numFmt w:val="bullet"/>
      <w:lvlText w:val=""/>
      <w:lvlJc w:val="left"/>
      <w:pPr>
        <w:tabs>
          <w:tab w:val="num" w:pos="796"/>
        </w:tabs>
        <w:ind w:left="796" w:hanging="360"/>
      </w:pPr>
      <w:rPr>
        <w:rFonts w:ascii="Wingdings" w:hAnsi="Wingdings" w:hint="default"/>
      </w:rPr>
    </w:lvl>
    <w:lvl w:ilvl="3" w:tplc="041B0001" w:tentative="1">
      <w:start w:val="1"/>
      <w:numFmt w:val="bullet"/>
      <w:lvlText w:val=""/>
      <w:lvlJc w:val="left"/>
      <w:pPr>
        <w:tabs>
          <w:tab w:val="num" w:pos="1516"/>
        </w:tabs>
        <w:ind w:left="1516" w:hanging="360"/>
      </w:pPr>
      <w:rPr>
        <w:rFonts w:ascii="Symbol" w:hAnsi="Symbol" w:hint="default"/>
      </w:rPr>
    </w:lvl>
    <w:lvl w:ilvl="4" w:tplc="041B0003" w:tentative="1">
      <w:start w:val="1"/>
      <w:numFmt w:val="bullet"/>
      <w:lvlText w:val="o"/>
      <w:lvlJc w:val="left"/>
      <w:pPr>
        <w:tabs>
          <w:tab w:val="num" w:pos="2236"/>
        </w:tabs>
        <w:ind w:left="2236" w:hanging="360"/>
      </w:pPr>
      <w:rPr>
        <w:rFonts w:ascii="Courier New" w:hAnsi="Courier New" w:hint="default"/>
      </w:rPr>
    </w:lvl>
    <w:lvl w:ilvl="5" w:tplc="041B0005" w:tentative="1">
      <w:start w:val="1"/>
      <w:numFmt w:val="bullet"/>
      <w:lvlText w:val=""/>
      <w:lvlJc w:val="left"/>
      <w:pPr>
        <w:tabs>
          <w:tab w:val="num" w:pos="2956"/>
        </w:tabs>
        <w:ind w:left="2956" w:hanging="360"/>
      </w:pPr>
      <w:rPr>
        <w:rFonts w:ascii="Wingdings" w:hAnsi="Wingdings" w:hint="default"/>
      </w:rPr>
    </w:lvl>
    <w:lvl w:ilvl="6" w:tplc="041B0001" w:tentative="1">
      <w:start w:val="1"/>
      <w:numFmt w:val="bullet"/>
      <w:lvlText w:val=""/>
      <w:lvlJc w:val="left"/>
      <w:pPr>
        <w:tabs>
          <w:tab w:val="num" w:pos="3676"/>
        </w:tabs>
        <w:ind w:left="3676" w:hanging="360"/>
      </w:pPr>
      <w:rPr>
        <w:rFonts w:ascii="Symbol" w:hAnsi="Symbol" w:hint="default"/>
      </w:rPr>
    </w:lvl>
    <w:lvl w:ilvl="7" w:tplc="041B0003" w:tentative="1">
      <w:start w:val="1"/>
      <w:numFmt w:val="bullet"/>
      <w:lvlText w:val="o"/>
      <w:lvlJc w:val="left"/>
      <w:pPr>
        <w:tabs>
          <w:tab w:val="num" w:pos="4396"/>
        </w:tabs>
        <w:ind w:left="4396" w:hanging="360"/>
      </w:pPr>
      <w:rPr>
        <w:rFonts w:ascii="Courier New" w:hAnsi="Courier New" w:hint="default"/>
      </w:rPr>
    </w:lvl>
    <w:lvl w:ilvl="8" w:tplc="041B0005" w:tentative="1">
      <w:start w:val="1"/>
      <w:numFmt w:val="bullet"/>
      <w:lvlText w:val=""/>
      <w:lvlJc w:val="left"/>
      <w:pPr>
        <w:tabs>
          <w:tab w:val="num" w:pos="5116"/>
        </w:tabs>
        <w:ind w:left="5116" w:hanging="360"/>
      </w:pPr>
      <w:rPr>
        <w:rFonts w:ascii="Wingdings" w:hAnsi="Wingdings" w:hint="default"/>
      </w:rPr>
    </w:lvl>
  </w:abstractNum>
  <w:abstractNum w:abstractNumId="17">
    <w:nsid w:val="4C7A19CC"/>
    <w:multiLevelType w:val="hybridMultilevel"/>
    <w:tmpl w:val="A32696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8">
    <w:nsid w:val="4F913D24"/>
    <w:multiLevelType w:val="hybridMultilevel"/>
    <w:tmpl w:val="709A3C1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nsid w:val="50481202"/>
    <w:multiLevelType w:val="hybridMultilevel"/>
    <w:tmpl w:val="79F29B10"/>
    <w:lvl w:ilvl="0" w:tplc="D506F40E">
      <w:start w:val="1"/>
      <w:numFmt w:val="bullet"/>
      <w:lvlText w:val="-"/>
      <w:lvlJc w:val="left"/>
      <w:pPr>
        <w:tabs>
          <w:tab w:val="num" w:pos="207"/>
        </w:tabs>
        <w:ind w:left="207" w:hanging="207"/>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62B791A"/>
    <w:multiLevelType w:val="hybridMultilevel"/>
    <w:tmpl w:val="37508B6A"/>
    <w:lvl w:ilvl="0" w:tplc="85801F9E">
      <w:start w:val="1"/>
      <w:numFmt w:val="bullet"/>
      <w:lvlText w:val="-"/>
      <w:lvlJc w:val="left"/>
      <w:pPr>
        <w:tabs>
          <w:tab w:val="num" w:pos="170"/>
        </w:tabs>
        <w:ind w:left="167" w:hanging="167"/>
      </w:pPr>
      <w:rPr>
        <w:rFonts w:ascii="Times New Roman" w:eastAsia="Times New Roman" w:hAnsi="Times New Roman" w:hint="default"/>
      </w:rPr>
    </w:lvl>
    <w:lvl w:ilvl="1" w:tplc="041B0003" w:tentative="1">
      <w:start w:val="1"/>
      <w:numFmt w:val="bullet"/>
      <w:lvlText w:val="o"/>
      <w:lvlJc w:val="left"/>
      <w:pPr>
        <w:tabs>
          <w:tab w:val="num" w:pos="76"/>
        </w:tabs>
        <w:ind w:left="76" w:hanging="360"/>
      </w:pPr>
      <w:rPr>
        <w:rFonts w:ascii="Courier New" w:hAnsi="Courier New" w:hint="default"/>
      </w:rPr>
    </w:lvl>
    <w:lvl w:ilvl="2" w:tplc="041B0005" w:tentative="1">
      <w:start w:val="1"/>
      <w:numFmt w:val="bullet"/>
      <w:lvlText w:val=""/>
      <w:lvlJc w:val="left"/>
      <w:pPr>
        <w:tabs>
          <w:tab w:val="num" w:pos="796"/>
        </w:tabs>
        <w:ind w:left="796" w:hanging="360"/>
      </w:pPr>
      <w:rPr>
        <w:rFonts w:ascii="Wingdings" w:hAnsi="Wingdings" w:hint="default"/>
      </w:rPr>
    </w:lvl>
    <w:lvl w:ilvl="3" w:tplc="041B0001" w:tentative="1">
      <w:start w:val="1"/>
      <w:numFmt w:val="bullet"/>
      <w:lvlText w:val=""/>
      <w:lvlJc w:val="left"/>
      <w:pPr>
        <w:tabs>
          <w:tab w:val="num" w:pos="1516"/>
        </w:tabs>
        <w:ind w:left="1516" w:hanging="360"/>
      </w:pPr>
      <w:rPr>
        <w:rFonts w:ascii="Symbol" w:hAnsi="Symbol" w:hint="default"/>
      </w:rPr>
    </w:lvl>
    <w:lvl w:ilvl="4" w:tplc="041B0003" w:tentative="1">
      <w:start w:val="1"/>
      <w:numFmt w:val="bullet"/>
      <w:lvlText w:val="o"/>
      <w:lvlJc w:val="left"/>
      <w:pPr>
        <w:tabs>
          <w:tab w:val="num" w:pos="2236"/>
        </w:tabs>
        <w:ind w:left="2236" w:hanging="360"/>
      </w:pPr>
      <w:rPr>
        <w:rFonts w:ascii="Courier New" w:hAnsi="Courier New" w:hint="default"/>
      </w:rPr>
    </w:lvl>
    <w:lvl w:ilvl="5" w:tplc="041B0005" w:tentative="1">
      <w:start w:val="1"/>
      <w:numFmt w:val="bullet"/>
      <w:lvlText w:val=""/>
      <w:lvlJc w:val="left"/>
      <w:pPr>
        <w:tabs>
          <w:tab w:val="num" w:pos="2956"/>
        </w:tabs>
        <w:ind w:left="2956" w:hanging="360"/>
      </w:pPr>
      <w:rPr>
        <w:rFonts w:ascii="Wingdings" w:hAnsi="Wingdings" w:hint="default"/>
      </w:rPr>
    </w:lvl>
    <w:lvl w:ilvl="6" w:tplc="041B0001" w:tentative="1">
      <w:start w:val="1"/>
      <w:numFmt w:val="bullet"/>
      <w:lvlText w:val=""/>
      <w:lvlJc w:val="left"/>
      <w:pPr>
        <w:tabs>
          <w:tab w:val="num" w:pos="3676"/>
        </w:tabs>
        <w:ind w:left="3676" w:hanging="360"/>
      </w:pPr>
      <w:rPr>
        <w:rFonts w:ascii="Symbol" w:hAnsi="Symbol" w:hint="default"/>
      </w:rPr>
    </w:lvl>
    <w:lvl w:ilvl="7" w:tplc="041B0003" w:tentative="1">
      <w:start w:val="1"/>
      <w:numFmt w:val="bullet"/>
      <w:lvlText w:val="o"/>
      <w:lvlJc w:val="left"/>
      <w:pPr>
        <w:tabs>
          <w:tab w:val="num" w:pos="4396"/>
        </w:tabs>
        <w:ind w:left="4396" w:hanging="360"/>
      </w:pPr>
      <w:rPr>
        <w:rFonts w:ascii="Courier New" w:hAnsi="Courier New" w:hint="default"/>
      </w:rPr>
    </w:lvl>
    <w:lvl w:ilvl="8" w:tplc="041B0005" w:tentative="1">
      <w:start w:val="1"/>
      <w:numFmt w:val="bullet"/>
      <w:lvlText w:val=""/>
      <w:lvlJc w:val="left"/>
      <w:pPr>
        <w:tabs>
          <w:tab w:val="num" w:pos="5116"/>
        </w:tabs>
        <w:ind w:left="5116" w:hanging="360"/>
      </w:pPr>
      <w:rPr>
        <w:rFonts w:ascii="Wingdings" w:hAnsi="Wingdings" w:hint="default"/>
      </w:rPr>
    </w:lvl>
  </w:abstractNum>
  <w:abstractNum w:abstractNumId="21">
    <w:nsid w:val="57261AF0"/>
    <w:multiLevelType w:val="hybridMultilevel"/>
    <w:tmpl w:val="6D6A1D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5001CA"/>
    <w:multiLevelType w:val="hybridMultilevel"/>
    <w:tmpl w:val="1D6C07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5D8B6E3D"/>
    <w:multiLevelType w:val="hybridMultilevel"/>
    <w:tmpl w:val="6590DACE"/>
    <w:lvl w:ilvl="0" w:tplc="76E0F9EC">
      <w:numFmt w:val="bullet"/>
      <w:lvlText w:val="-"/>
      <w:lvlJc w:val="left"/>
      <w:pPr>
        <w:ind w:left="720" w:hanging="360"/>
      </w:pPr>
      <w:rPr>
        <w:rFonts w:ascii="Calibri" w:eastAsia="Times New Roman" w:hAnsi="Calibri"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4">
    <w:nsid w:val="5EB803F7"/>
    <w:multiLevelType w:val="hybridMultilevel"/>
    <w:tmpl w:val="51A6E614"/>
    <w:lvl w:ilvl="0" w:tplc="32C4FE1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16D5EB4"/>
    <w:multiLevelType w:val="hybridMultilevel"/>
    <w:tmpl w:val="AE882EB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6">
    <w:nsid w:val="658E3B26"/>
    <w:multiLevelType w:val="hybridMultilevel"/>
    <w:tmpl w:val="AD2C21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8B10D9E"/>
    <w:multiLevelType w:val="hybridMultilevel"/>
    <w:tmpl w:val="21BA4E6A"/>
    <w:lvl w:ilvl="0" w:tplc="86BC5686">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B556BC6"/>
    <w:multiLevelType w:val="hybridMultilevel"/>
    <w:tmpl w:val="BDD640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nsid w:val="6BAF7A26"/>
    <w:multiLevelType w:val="hybridMultilevel"/>
    <w:tmpl w:val="A4944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6F0B436C"/>
    <w:multiLevelType w:val="hybridMultilevel"/>
    <w:tmpl w:val="76E6FA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708203F6"/>
    <w:multiLevelType w:val="multilevel"/>
    <w:tmpl w:val="E6CA8794"/>
    <w:lvl w:ilvl="0">
      <w:start w:val="1"/>
      <w:numFmt w:val="decimal"/>
      <w:lvlText w:val="%1."/>
      <w:lvlJc w:val="left"/>
      <w:pPr>
        <w:ind w:left="720" w:hanging="360"/>
      </w:pPr>
      <w:rPr>
        <w:rFonts w:hint="default"/>
      </w:rPr>
    </w:lvl>
    <w:lvl w:ilvl="1">
      <w:start w:val="4"/>
      <w:numFmt w:val="decimal"/>
      <w:isLgl/>
      <w:lvlText w:val="%1.%2"/>
      <w:lvlJc w:val="left"/>
      <w:pPr>
        <w:ind w:left="798"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14816CF"/>
    <w:multiLevelType w:val="hybridMultilevel"/>
    <w:tmpl w:val="695423BC"/>
    <w:lvl w:ilvl="0" w:tplc="3DC89D84">
      <w:start w:val="1"/>
      <w:numFmt w:val="decimal"/>
      <w:lvlText w:val="(%1)"/>
      <w:lvlJc w:val="left"/>
      <w:pPr>
        <w:ind w:left="1017" w:hanging="720"/>
      </w:pPr>
      <w:rPr>
        <w:rFonts w:ascii="Calibri" w:eastAsia="Calibri" w:hAnsi="Calibri" w:hint="default"/>
        <w:spacing w:val="-1"/>
        <w:w w:val="100"/>
        <w:sz w:val="22"/>
        <w:szCs w:val="22"/>
      </w:rPr>
    </w:lvl>
    <w:lvl w:ilvl="1" w:tplc="8086F848">
      <w:start w:val="1"/>
      <w:numFmt w:val="lowerLetter"/>
      <w:lvlText w:val="%2)"/>
      <w:lvlJc w:val="left"/>
      <w:pPr>
        <w:ind w:left="2294" w:hanging="569"/>
      </w:pPr>
      <w:rPr>
        <w:rFonts w:ascii="Calibri" w:eastAsia="Calibri" w:hAnsi="Calibri" w:hint="default"/>
        <w:w w:val="100"/>
        <w:sz w:val="24"/>
        <w:szCs w:val="24"/>
      </w:rPr>
    </w:lvl>
    <w:lvl w:ilvl="2" w:tplc="69E4A8D0">
      <w:start w:val="1"/>
      <w:numFmt w:val="bullet"/>
      <w:lvlText w:val="•"/>
      <w:lvlJc w:val="left"/>
      <w:pPr>
        <w:ind w:left="3225" w:hanging="569"/>
      </w:pPr>
    </w:lvl>
    <w:lvl w:ilvl="3" w:tplc="AEF69504">
      <w:start w:val="1"/>
      <w:numFmt w:val="bullet"/>
      <w:lvlText w:val="•"/>
      <w:lvlJc w:val="left"/>
      <w:pPr>
        <w:ind w:left="4150" w:hanging="569"/>
      </w:pPr>
    </w:lvl>
    <w:lvl w:ilvl="4" w:tplc="608C5B48">
      <w:start w:val="1"/>
      <w:numFmt w:val="bullet"/>
      <w:lvlText w:val="•"/>
      <w:lvlJc w:val="left"/>
      <w:pPr>
        <w:ind w:left="5075" w:hanging="569"/>
      </w:pPr>
    </w:lvl>
    <w:lvl w:ilvl="5" w:tplc="42E4AC14">
      <w:start w:val="1"/>
      <w:numFmt w:val="bullet"/>
      <w:lvlText w:val="•"/>
      <w:lvlJc w:val="left"/>
      <w:pPr>
        <w:ind w:left="6000" w:hanging="569"/>
      </w:pPr>
    </w:lvl>
    <w:lvl w:ilvl="6" w:tplc="15D0113C">
      <w:start w:val="1"/>
      <w:numFmt w:val="bullet"/>
      <w:lvlText w:val="•"/>
      <w:lvlJc w:val="left"/>
      <w:pPr>
        <w:ind w:left="6925" w:hanging="569"/>
      </w:pPr>
    </w:lvl>
    <w:lvl w:ilvl="7" w:tplc="8A30E5CC">
      <w:start w:val="1"/>
      <w:numFmt w:val="bullet"/>
      <w:lvlText w:val="•"/>
      <w:lvlJc w:val="left"/>
      <w:pPr>
        <w:ind w:left="7850" w:hanging="569"/>
      </w:pPr>
    </w:lvl>
    <w:lvl w:ilvl="8" w:tplc="818C35A4">
      <w:start w:val="1"/>
      <w:numFmt w:val="bullet"/>
      <w:lvlText w:val="•"/>
      <w:lvlJc w:val="left"/>
      <w:pPr>
        <w:ind w:left="8776" w:hanging="569"/>
      </w:pPr>
    </w:lvl>
  </w:abstractNum>
  <w:abstractNum w:abstractNumId="33">
    <w:nsid w:val="72B31F72"/>
    <w:multiLevelType w:val="hybridMultilevel"/>
    <w:tmpl w:val="01927A3A"/>
    <w:lvl w:ilvl="0" w:tplc="041B0001">
      <w:start w:val="1"/>
      <w:numFmt w:val="bullet"/>
      <w:lvlText w:val=""/>
      <w:lvlJc w:val="left"/>
      <w:pPr>
        <w:tabs>
          <w:tab w:val="num" w:pos="170"/>
        </w:tabs>
        <w:ind w:left="167" w:hanging="167"/>
      </w:pPr>
      <w:rPr>
        <w:rFonts w:ascii="Symbol" w:hAnsi="Symbol" w:hint="default"/>
      </w:rPr>
    </w:lvl>
    <w:lvl w:ilvl="1" w:tplc="041B0003">
      <w:start w:val="1"/>
      <w:numFmt w:val="bullet"/>
      <w:lvlText w:val="o"/>
      <w:lvlJc w:val="left"/>
      <w:pPr>
        <w:tabs>
          <w:tab w:val="num" w:pos="76"/>
        </w:tabs>
        <w:ind w:left="76" w:hanging="360"/>
      </w:pPr>
      <w:rPr>
        <w:rFonts w:ascii="Courier New" w:hAnsi="Courier New" w:hint="default"/>
      </w:rPr>
    </w:lvl>
    <w:lvl w:ilvl="2" w:tplc="041B0005">
      <w:start w:val="1"/>
      <w:numFmt w:val="bullet"/>
      <w:lvlText w:val=""/>
      <w:lvlJc w:val="left"/>
      <w:pPr>
        <w:tabs>
          <w:tab w:val="num" w:pos="796"/>
        </w:tabs>
        <w:ind w:left="796" w:hanging="360"/>
      </w:pPr>
      <w:rPr>
        <w:rFonts w:ascii="Wingdings" w:hAnsi="Wingdings" w:hint="default"/>
      </w:rPr>
    </w:lvl>
    <w:lvl w:ilvl="3" w:tplc="041B0001">
      <w:start w:val="1"/>
      <w:numFmt w:val="bullet"/>
      <w:lvlText w:val=""/>
      <w:lvlJc w:val="left"/>
      <w:pPr>
        <w:tabs>
          <w:tab w:val="num" w:pos="1516"/>
        </w:tabs>
        <w:ind w:left="1516" w:hanging="360"/>
      </w:pPr>
      <w:rPr>
        <w:rFonts w:ascii="Symbol" w:hAnsi="Symbol" w:hint="default"/>
      </w:rPr>
    </w:lvl>
    <w:lvl w:ilvl="4" w:tplc="041B0003">
      <w:start w:val="1"/>
      <w:numFmt w:val="bullet"/>
      <w:lvlText w:val="o"/>
      <w:lvlJc w:val="left"/>
      <w:pPr>
        <w:tabs>
          <w:tab w:val="num" w:pos="2236"/>
        </w:tabs>
        <w:ind w:left="2236" w:hanging="360"/>
      </w:pPr>
      <w:rPr>
        <w:rFonts w:ascii="Courier New" w:hAnsi="Courier New" w:hint="default"/>
      </w:rPr>
    </w:lvl>
    <w:lvl w:ilvl="5" w:tplc="041B0005">
      <w:start w:val="1"/>
      <w:numFmt w:val="bullet"/>
      <w:lvlText w:val=""/>
      <w:lvlJc w:val="left"/>
      <w:pPr>
        <w:tabs>
          <w:tab w:val="num" w:pos="2956"/>
        </w:tabs>
        <w:ind w:left="2956" w:hanging="360"/>
      </w:pPr>
      <w:rPr>
        <w:rFonts w:ascii="Wingdings" w:hAnsi="Wingdings" w:hint="default"/>
      </w:rPr>
    </w:lvl>
    <w:lvl w:ilvl="6" w:tplc="041B0001">
      <w:start w:val="1"/>
      <w:numFmt w:val="bullet"/>
      <w:lvlText w:val=""/>
      <w:lvlJc w:val="left"/>
      <w:pPr>
        <w:tabs>
          <w:tab w:val="num" w:pos="3676"/>
        </w:tabs>
        <w:ind w:left="3676" w:hanging="360"/>
      </w:pPr>
      <w:rPr>
        <w:rFonts w:ascii="Symbol" w:hAnsi="Symbol" w:hint="default"/>
      </w:rPr>
    </w:lvl>
    <w:lvl w:ilvl="7" w:tplc="041B0003">
      <w:start w:val="1"/>
      <w:numFmt w:val="bullet"/>
      <w:lvlText w:val="o"/>
      <w:lvlJc w:val="left"/>
      <w:pPr>
        <w:tabs>
          <w:tab w:val="num" w:pos="4396"/>
        </w:tabs>
        <w:ind w:left="4396" w:hanging="360"/>
      </w:pPr>
      <w:rPr>
        <w:rFonts w:ascii="Courier New" w:hAnsi="Courier New" w:hint="default"/>
      </w:rPr>
    </w:lvl>
    <w:lvl w:ilvl="8" w:tplc="041B0005">
      <w:start w:val="1"/>
      <w:numFmt w:val="bullet"/>
      <w:lvlText w:val=""/>
      <w:lvlJc w:val="left"/>
      <w:pPr>
        <w:tabs>
          <w:tab w:val="num" w:pos="5116"/>
        </w:tabs>
        <w:ind w:left="5116" w:hanging="360"/>
      </w:pPr>
      <w:rPr>
        <w:rFonts w:ascii="Wingdings" w:hAnsi="Wingdings" w:hint="default"/>
      </w:rPr>
    </w:lvl>
  </w:abstractNum>
  <w:abstractNum w:abstractNumId="34">
    <w:nsid w:val="745B1DE6"/>
    <w:multiLevelType w:val="hybridMultilevel"/>
    <w:tmpl w:val="F802FD72"/>
    <w:lvl w:ilvl="0" w:tplc="85801F9E">
      <w:start w:val="1"/>
      <w:numFmt w:val="bullet"/>
      <w:lvlText w:val="-"/>
      <w:lvlJc w:val="left"/>
      <w:pPr>
        <w:tabs>
          <w:tab w:val="num" w:pos="170"/>
        </w:tabs>
        <w:ind w:left="167" w:hanging="167"/>
      </w:pPr>
      <w:rPr>
        <w:rFonts w:ascii="Times New Roman" w:eastAsia="Times New Roman" w:hAnsi="Times New Roman" w:hint="default"/>
      </w:rPr>
    </w:lvl>
    <w:lvl w:ilvl="1" w:tplc="041B0003" w:tentative="1">
      <w:start w:val="1"/>
      <w:numFmt w:val="bullet"/>
      <w:lvlText w:val="o"/>
      <w:lvlJc w:val="left"/>
      <w:pPr>
        <w:tabs>
          <w:tab w:val="num" w:pos="76"/>
        </w:tabs>
        <w:ind w:left="76" w:hanging="360"/>
      </w:pPr>
      <w:rPr>
        <w:rFonts w:ascii="Courier New" w:hAnsi="Courier New" w:hint="default"/>
      </w:rPr>
    </w:lvl>
    <w:lvl w:ilvl="2" w:tplc="041B0005" w:tentative="1">
      <w:start w:val="1"/>
      <w:numFmt w:val="bullet"/>
      <w:lvlText w:val=""/>
      <w:lvlJc w:val="left"/>
      <w:pPr>
        <w:tabs>
          <w:tab w:val="num" w:pos="796"/>
        </w:tabs>
        <w:ind w:left="796" w:hanging="360"/>
      </w:pPr>
      <w:rPr>
        <w:rFonts w:ascii="Wingdings" w:hAnsi="Wingdings" w:hint="default"/>
      </w:rPr>
    </w:lvl>
    <w:lvl w:ilvl="3" w:tplc="041B0001" w:tentative="1">
      <w:start w:val="1"/>
      <w:numFmt w:val="bullet"/>
      <w:lvlText w:val=""/>
      <w:lvlJc w:val="left"/>
      <w:pPr>
        <w:tabs>
          <w:tab w:val="num" w:pos="1516"/>
        </w:tabs>
        <w:ind w:left="1516" w:hanging="360"/>
      </w:pPr>
      <w:rPr>
        <w:rFonts w:ascii="Symbol" w:hAnsi="Symbol" w:hint="default"/>
      </w:rPr>
    </w:lvl>
    <w:lvl w:ilvl="4" w:tplc="041B0003" w:tentative="1">
      <w:start w:val="1"/>
      <w:numFmt w:val="bullet"/>
      <w:lvlText w:val="o"/>
      <w:lvlJc w:val="left"/>
      <w:pPr>
        <w:tabs>
          <w:tab w:val="num" w:pos="2236"/>
        </w:tabs>
        <w:ind w:left="2236" w:hanging="360"/>
      </w:pPr>
      <w:rPr>
        <w:rFonts w:ascii="Courier New" w:hAnsi="Courier New" w:hint="default"/>
      </w:rPr>
    </w:lvl>
    <w:lvl w:ilvl="5" w:tplc="041B0005" w:tentative="1">
      <w:start w:val="1"/>
      <w:numFmt w:val="bullet"/>
      <w:lvlText w:val=""/>
      <w:lvlJc w:val="left"/>
      <w:pPr>
        <w:tabs>
          <w:tab w:val="num" w:pos="2956"/>
        </w:tabs>
        <w:ind w:left="2956" w:hanging="360"/>
      </w:pPr>
      <w:rPr>
        <w:rFonts w:ascii="Wingdings" w:hAnsi="Wingdings" w:hint="default"/>
      </w:rPr>
    </w:lvl>
    <w:lvl w:ilvl="6" w:tplc="041B0001" w:tentative="1">
      <w:start w:val="1"/>
      <w:numFmt w:val="bullet"/>
      <w:lvlText w:val=""/>
      <w:lvlJc w:val="left"/>
      <w:pPr>
        <w:tabs>
          <w:tab w:val="num" w:pos="3676"/>
        </w:tabs>
        <w:ind w:left="3676" w:hanging="360"/>
      </w:pPr>
      <w:rPr>
        <w:rFonts w:ascii="Symbol" w:hAnsi="Symbol" w:hint="default"/>
      </w:rPr>
    </w:lvl>
    <w:lvl w:ilvl="7" w:tplc="041B0003" w:tentative="1">
      <w:start w:val="1"/>
      <w:numFmt w:val="bullet"/>
      <w:lvlText w:val="o"/>
      <w:lvlJc w:val="left"/>
      <w:pPr>
        <w:tabs>
          <w:tab w:val="num" w:pos="4396"/>
        </w:tabs>
        <w:ind w:left="4396" w:hanging="360"/>
      </w:pPr>
      <w:rPr>
        <w:rFonts w:ascii="Courier New" w:hAnsi="Courier New" w:hint="default"/>
      </w:rPr>
    </w:lvl>
    <w:lvl w:ilvl="8" w:tplc="041B0005" w:tentative="1">
      <w:start w:val="1"/>
      <w:numFmt w:val="bullet"/>
      <w:lvlText w:val=""/>
      <w:lvlJc w:val="left"/>
      <w:pPr>
        <w:tabs>
          <w:tab w:val="num" w:pos="5116"/>
        </w:tabs>
        <w:ind w:left="5116" w:hanging="360"/>
      </w:pPr>
      <w:rPr>
        <w:rFonts w:ascii="Wingdings" w:hAnsi="Wingdings" w:hint="default"/>
      </w:rPr>
    </w:lvl>
  </w:abstractNum>
  <w:abstractNum w:abstractNumId="35">
    <w:nsid w:val="7958055E"/>
    <w:multiLevelType w:val="hybridMultilevel"/>
    <w:tmpl w:val="360CD67C"/>
    <w:lvl w:ilvl="0" w:tplc="8BBC18E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6">
    <w:nsid w:val="79CA7FF0"/>
    <w:multiLevelType w:val="hybridMultilevel"/>
    <w:tmpl w:val="2CFA0074"/>
    <w:lvl w:ilvl="0" w:tplc="980EC210">
      <w:start w:val="1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
    <w:nsid w:val="7E060889"/>
    <w:multiLevelType w:val="hybridMultilevel"/>
    <w:tmpl w:val="AF9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5"/>
  </w:num>
  <w:num w:numId="9">
    <w:abstractNumId w:val="14"/>
  </w:num>
  <w:num w:numId="10">
    <w:abstractNumId w:val="37"/>
  </w:num>
  <w:num w:numId="11">
    <w:abstractNumId w:val="36"/>
  </w:num>
  <w:num w:numId="12">
    <w:abstractNumId w:val="24"/>
  </w:num>
  <w:num w:numId="13">
    <w:abstractNumId w:val="34"/>
  </w:num>
  <w:num w:numId="14">
    <w:abstractNumId w:val="16"/>
  </w:num>
  <w:num w:numId="15">
    <w:abstractNumId w:val="20"/>
  </w:num>
  <w:num w:numId="16">
    <w:abstractNumId w:val="19"/>
  </w:num>
  <w:num w:numId="17">
    <w:abstractNumId w:val="0"/>
  </w:num>
  <w:num w:numId="18">
    <w:abstractNumId w:val="2"/>
  </w:num>
  <w:num w:numId="19">
    <w:abstractNumId w:val="2"/>
    <w:lvlOverride w:ilvl="0">
      <w:startOverride w:val="5"/>
    </w:lvlOverride>
    <w:lvlOverride w:ilvl="1">
      <w:startOverride w:val="2"/>
    </w:lvlOverride>
  </w:num>
  <w:num w:numId="20">
    <w:abstractNumId w:val="26"/>
  </w:num>
  <w:num w:numId="21">
    <w:abstractNumId w:val="25"/>
  </w:num>
  <w:num w:numId="22">
    <w:abstractNumId w:val="7"/>
  </w:num>
  <w:num w:numId="23">
    <w:abstractNumId w:val="3"/>
  </w:num>
  <w:num w:numId="24">
    <w:abstractNumId w:val="27"/>
  </w:num>
  <w:num w:numId="2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2"/>
  </w:num>
  <w:num w:numId="30">
    <w:abstractNumId w:val="31"/>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11"/>
  </w:num>
  <w:num w:numId="37">
    <w:abstractNumId w:val="12"/>
  </w:num>
  <w:num w:numId="38">
    <w:abstractNumId w:val="1"/>
  </w:num>
  <w:num w:numId="39">
    <w:abstractNumId w:val="8"/>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49"/>
    <w:rsid w:val="0000089C"/>
    <w:rsid w:val="00012C3E"/>
    <w:rsid w:val="00015511"/>
    <w:rsid w:val="00021D9D"/>
    <w:rsid w:val="000456C9"/>
    <w:rsid w:val="00045CC2"/>
    <w:rsid w:val="00050066"/>
    <w:rsid w:val="00060C2B"/>
    <w:rsid w:val="000C0AD9"/>
    <w:rsid w:val="000C5FEF"/>
    <w:rsid w:val="000D161E"/>
    <w:rsid w:val="000E3765"/>
    <w:rsid w:val="00102AD9"/>
    <w:rsid w:val="0011376E"/>
    <w:rsid w:val="00120B31"/>
    <w:rsid w:val="0012277F"/>
    <w:rsid w:val="00124B79"/>
    <w:rsid w:val="001432FD"/>
    <w:rsid w:val="00151FA7"/>
    <w:rsid w:val="00156AFA"/>
    <w:rsid w:val="00177077"/>
    <w:rsid w:val="00180BC5"/>
    <w:rsid w:val="001B073C"/>
    <w:rsid w:val="001B214F"/>
    <w:rsid w:val="001C193D"/>
    <w:rsid w:val="001D04A0"/>
    <w:rsid w:val="001E4CCF"/>
    <w:rsid w:val="002034CB"/>
    <w:rsid w:val="00236CCD"/>
    <w:rsid w:val="002A12FC"/>
    <w:rsid w:val="002A21CC"/>
    <w:rsid w:val="002A5E0F"/>
    <w:rsid w:val="002C3E19"/>
    <w:rsid w:val="002C5BC6"/>
    <w:rsid w:val="002D3B86"/>
    <w:rsid w:val="002F2554"/>
    <w:rsid w:val="00305939"/>
    <w:rsid w:val="0031338B"/>
    <w:rsid w:val="00325404"/>
    <w:rsid w:val="00342AD5"/>
    <w:rsid w:val="0035658E"/>
    <w:rsid w:val="00372A52"/>
    <w:rsid w:val="00385EE7"/>
    <w:rsid w:val="00392945"/>
    <w:rsid w:val="003B31E2"/>
    <w:rsid w:val="003C08AD"/>
    <w:rsid w:val="003C09CD"/>
    <w:rsid w:val="003D2012"/>
    <w:rsid w:val="003F0B7B"/>
    <w:rsid w:val="004324EB"/>
    <w:rsid w:val="004344A7"/>
    <w:rsid w:val="00440AB3"/>
    <w:rsid w:val="0044446E"/>
    <w:rsid w:val="00447572"/>
    <w:rsid w:val="0045162A"/>
    <w:rsid w:val="0045282C"/>
    <w:rsid w:val="0046643E"/>
    <w:rsid w:val="004F5746"/>
    <w:rsid w:val="00501CDB"/>
    <w:rsid w:val="00515B72"/>
    <w:rsid w:val="00542541"/>
    <w:rsid w:val="0059644C"/>
    <w:rsid w:val="00596EAE"/>
    <w:rsid w:val="005B5DB2"/>
    <w:rsid w:val="005C1B86"/>
    <w:rsid w:val="005D132B"/>
    <w:rsid w:val="005D595F"/>
    <w:rsid w:val="006119D5"/>
    <w:rsid w:val="00611C0C"/>
    <w:rsid w:val="006233A4"/>
    <w:rsid w:val="00633A75"/>
    <w:rsid w:val="006350D0"/>
    <w:rsid w:val="00651F9F"/>
    <w:rsid w:val="0067123B"/>
    <w:rsid w:val="006B4509"/>
    <w:rsid w:val="006C3081"/>
    <w:rsid w:val="006D127C"/>
    <w:rsid w:val="006E19EF"/>
    <w:rsid w:val="00715C1F"/>
    <w:rsid w:val="007206BC"/>
    <w:rsid w:val="00741427"/>
    <w:rsid w:val="00744F92"/>
    <w:rsid w:val="00777BF7"/>
    <w:rsid w:val="00780F2B"/>
    <w:rsid w:val="00787340"/>
    <w:rsid w:val="007D46CC"/>
    <w:rsid w:val="007D7739"/>
    <w:rsid w:val="007F6024"/>
    <w:rsid w:val="0080441E"/>
    <w:rsid w:val="008327C2"/>
    <w:rsid w:val="00833C9E"/>
    <w:rsid w:val="0088538C"/>
    <w:rsid w:val="00887EB6"/>
    <w:rsid w:val="00895AD4"/>
    <w:rsid w:val="008F18C4"/>
    <w:rsid w:val="008F277A"/>
    <w:rsid w:val="008F3100"/>
    <w:rsid w:val="00902C1E"/>
    <w:rsid w:val="0091177A"/>
    <w:rsid w:val="00914C68"/>
    <w:rsid w:val="00961615"/>
    <w:rsid w:val="009747F5"/>
    <w:rsid w:val="009D075F"/>
    <w:rsid w:val="009E604E"/>
    <w:rsid w:val="00A03DF3"/>
    <w:rsid w:val="00A30FF7"/>
    <w:rsid w:val="00A70F92"/>
    <w:rsid w:val="00A90498"/>
    <w:rsid w:val="00A92126"/>
    <w:rsid w:val="00AA1642"/>
    <w:rsid w:val="00AB00BB"/>
    <w:rsid w:val="00AC5B2A"/>
    <w:rsid w:val="00AC689B"/>
    <w:rsid w:val="00AE19FE"/>
    <w:rsid w:val="00AF726A"/>
    <w:rsid w:val="00B34A86"/>
    <w:rsid w:val="00B414BB"/>
    <w:rsid w:val="00B51749"/>
    <w:rsid w:val="00B828C8"/>
    <w:rsid w:val="00B96473"/>
    <w:rsid w:val="00B96E02"/>
    <w:rsid w:val="00BE2D2A"/>
    <w:rsid w:val="00BE4256"/>
    <w:rsid w:val="00BF1BAC"/>
    <w:rsid w:val="00C10290"/>
    <w:rsid w:val="00C47018"/>
    <w:rsid w:val="00C5296A"/>
    <w:rsid w:val="00C818A7"/>
    <w:rsid w:val="00C92614"/>
    <w:rsid w:val="00CD10B0"/>
    <w:rsid w:val="00CD5C1D"/>
    <w:rsid w:val="00D05DA2"/>
    <w:rsid w:val="00D06EF7"/>
    <w:rsid w:val="00D327A7"/>
    <w:rsid w:val="00D609FF"/>
    <w:rsid w:val="00D73A51"/>
    <w:rsid w:val="00DA088C"/>
    <w:rsid w:val="00DF0142"/>
    <w:rsid w:val="00E065EA"/>
    <w:rsid w:val="00E12B55"/>
    <w:rsid w:val="00E4332F"/>
    <w:rsid w:val="00E61939"/>
    <w:rsid w:val="00E627D1"/>
    <w:rsid w:val="00E87698"/>
    <w:rsid w:val="00EB0818"/>
    <w:rsid w:val="00EB2174"/>
    <w:rsid w:val="00EB6703"/>
    <w:rsid w:val="00EC6C07"/>
    <w:rsid w:val="00ED424B"/>
    <w:rsid w:val="00F11CC2"/>
    <w:rsid w:val="00F126CE"/>
    <w:rsid w:val="00F14D0F"/>
    <w:rsid w:val="00F40DBE"/>
    <w:rsid w:val="00F51A6F"/>
    <w:rsid w:val="00F6626B"/>
    <w:rsid w:val="00F77AC1"/>
    <w:rsid w:val="00FC2F36"/>
    <w:rsid w:val="00FC4030"/>
    <w:rsid w:val="00FC7810"/>
    <w:rsid w:val="00FD4159"/>
    <w:rsid w:val="00FD7BE8"/>
    <w:rsid w:val="00FE275A"/>
    <w:rsid w:val="00FE6EF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749"/>
    <w:pPr>
      <w:spacing w:after="0" w:line="240" w:lineRule="auto"/>
      <w:jc w:val="both"/>
    </w:pPr>
    <w:rPr>
      <w:rFonts w:ascii="Cambria" w:eastAsia="MS Mincho" w:hAnsi="Cambria" w:cs="Times New Roman"/>
      <w:sz w:val="24"/>
      <w:szCs w:val="24"/>
    </w:rPr>
  </w:style>
  <w:style w:type="paragraph" w:styleId="Nadpis1">
    <w:name w:val="heading 1"/>
    <w:basedOn w:val="Normlny"/>
    <w:next w:val="Normlny"/>
    <w:link w:val="Nadpis1Char"/>
    <w:uiPriority w:val="9"/>
    <w:qFormat/>
    <w:rsid w:val="00B51749"/>
    <w:pPr>
      <w:numPr>
        <w:numId w:val="18"/>
      </w:numPr>
      <w:spacing w:before="480" w:after="240"/>
      <w:jc w:val="center"/>
      <w:outlineLvl w:val="0"/>
    </w:pPr>
    <w:rPr>
      <w:rFonts w:ascii="Times New Roman" w:eastAsia="Times New Roman" w:hAnsi="Times New Roman"/>
      <w:b/>
      <w:bCs/>
      <w:color w:val="000000"/>
      <w:kern w:val="32"/>
      <w:sz w:val="32"/>
      <w:szCs w:val="32"/>
      <w:lang w:eastAsia="cs-CZ"/>
    </w:rPr>
  </w:style>
  <w:style w:type="paragraph" w:styleId="Nadpis2">
    <w:name w:val="heading 2"/>
    <w:basedOn w:val="Normlny"/>
    <w:next w:val="Normlny"/>
    <w:link w:val="Nadpis2Char"/>
    <w:uiPriority w:val="9"/>
    <w:qFormat/>
    <w:rsid w:val="00B51749"/>
    <w:pPr>
      <w:keepNext/>
      <w:numPr>
        <w:ilvl w:val="1"/>
        <w:numId w:val="18"/>
      </w:numPr>
      <w:spacing w:before="240" w:after="240"/>
      <w:jc w:val="center"/>
      <w:outlineLvl w:val="1"/>
    </w:pPr>
    <w:rPr>
      <w:rFonts w:ascii="Times New Roman" w:eastAsia="Times New Roman" w:hAnsi="Times New Roman"/>
      <w:b/>
      <w:bCs/>
      <w:color w:val="000000"/>
      <w:sz w:val="28"/>
      <w:szCs w:val="28"/>
      <w:lang w:eastAsia="cs-CZ"/>
    </w:rPr>
  </w:style>
  <w:style w:type="paragraph" w:styleId="Nadpis3">
    <w:name w:val="heading 3"/>
    <w:basedOn w:val="Normlny"/>
    <w:next w:val="Normlny"/>
    <w:link w:val="Nadpis3Char"/>
    <w:uiPriority w:val="9"/>
    <w:qFormat/>
    <w:rsid w:val="00B51749"/>
    <w:pPr>
      <w:keepNext/>
      <w:numPr>
        <w:ilvl w:val="2"/>
        <w:numId w:val="18"/>
      </w:numPr>
      <w:spacing w:before="120" w:after="120"/>
      <w:ind w:left="0" w:firstLine="0"/>
      <w:jc w:val="center"/>
      <w:outlineLvl w:val="2"/>
    </w:pPr>
    <w:rPr>
      <w:rFonts w:ascii="Times New Roman" w:eastAsia="Times New Roman" w:hAnsi="Times New Roman"/>
      <w:b/>
      <w:bCs/>
      <w:color w:val="000000"/>
      <w:lang w:eastAsia="cs-CZ"/>
    </w:rPr>
  </w:style>
  <w:style w:type="paragraph" w:styleId="Nadpis4">
    <w:name w:val="heading 4"/>
    <w:basedOn w:val="Normlny"/>
    <w:next w:val="Normlny"/>
    <w:link w:val="Nadpis4Char"/>
    <w:uiPriority w:val="99"/>
    <w:qFormat/>
    <w:rsid w:val="00B51749"/>
    <w:pPr>
      <w:keepNext/>
      <w:numPr>
        <w:ilvl w:val="3"/>
        <w:numId w:val="18"/>
      </w:numPr>
      <w:spacing w:before="240" w:after="60"/>
      <w:outlineLvl w:val="3"/>
    </w:pPr>
    <w:rPr>
      <w:rFonts w:ascii="Times New Roman" w:eastAsia="Times New Roman" w:hAnsi="Times New Roman"/>
      <w:b/>
      <w:bCs/>
      <w:color w:val="000000"/>
      <w:sz w:val="28"/>
      <w:szCs w:val="28"/>
      <w:lang w:eastAsia="cs-CZ"/>
    </w:rPr>
  </w:style>
  <w:style w:type="paragraph" w:styleId="Nadpis5">
    <w:name w:val="heading 5"/>
    <w:basedOn w:val="Normlny"/>
    <w:next w:val="Normlny"/>
    <w:link w:val="Nadpis5Char"/>
    <w:uiPriority w:val="9"/>
    <w:unhideWhenUsed/>
    <w:qFormat/>
    <w:rsid w:val="00B51749"/>
    <w:pPr>
      <w:keepNext/>
      <w:keepLines/>
      <w:numPr>
        <w:ilvl w:val="4"/>
        <w:numId w:val="18"/>
      </w:numPr>
      <w:spacing w:before="200"/>
      <w:outlineLvl w:val="4"/>
    </w:pPr>
    <w:rPr>
      <w:rFonts w:ascii="Calibri" w:eastAsia="MS Gothic" w:hAnsi="Calibri"/>
      <w:color w:val="243F60"/>
    </w:rPr>
  </w:style>
  <w:style w:type="paragraph" w:styleId="Nadpis6">
    <w:name w:val="heading 6"/>
    <w:basedOn w:val="Normlny"/>
    <w:next w:val="Normlny"/>
    <w:link w:val="Nadpis6Char"/>
    <w:semiHidden/>
    <w:unhideWhenUsed/>
    <w:qFormat/>
    <w:rsid w:val="00B51749"/>
    <w:pPr>
      <w:numPr>
        <w:ilvl w:val="5"/>
        <w:numId w:val="18"/>
      </w:numPr>
      <w:spacing w:before="240" w:after="60"/>
      <w:outlineLvl w:val="5"/>
    </w:pPr>
    <w:rPr>
      <w:rFonts w:ascii="Calibri" w:eastAsia="Times New Roman" w:hAnsi="Calibri"/>
      <w:b/>
      <w:bCs/>
      <w:color w:val="000000"/>
      <w:sz w:val="22"/>
      <w:szCs w:val="22"/>
      <w:lang w:eastAsia="cs-CZ"/>
    </w:rPr>
  </w:style>
  <w:style w:type="paragraph" w:styleId="Nadpis7">
    <w:name w:val="heading 7"/>
    <w:basedOn w:val="Normlny"/>
    <w:next w:val="Normlny"/>
    <w:link w:val="Nadpis7Char"/>
    <w:semiHidden/>
    <w:unhideWhenUsed/>
    <w:qFormat/>
    <w:rsid w:val="00B51749"/>
    <w:pPr>
      <w:numPr>
        <w:ilvl w:val="6"/>
        <w:numId w:val="18"/>
      </w:numPr>
      <w:spacing w:before="240" w:after="60"/>
      <w:outlineLvl w:val="6"/>
    </w:pPr>
    <w:rPr>
      <w:rFonts w:ascii="Calibri" w:eastAsia="Times New Roman" w:hAnsi="Calibri"/>
      <w:color w:val="000000"/>
      <w:lang w:eastAsia="cs-CZ"/>
    </w:rPr>
  </w:style>
  <w:style w:type="paragraph" w:styleId="Nadpis8">
    <w:name w:val="heading 8"/>
    <w:basedOn w:val="Normlny"/>
    <w:next w:val="Normlny"/>
    <w:link w:val="Nadpis8Char"/>
    <w:uiPriority w:val="9"/>
    <w:semiHidden/>
    <w:unhideWhenUsed/>
    <w:qFormat/>
    <w:rsid w:val="00B51749"/>
    <w:pPr>
      <w:numPr>
        <w:ilvl w:val="7"/>
        <w:numId w:val="18"/>
      </w:numPr>
      <w:spacing w:before="240" w:after="60"/>
      <w:outlineLvl w:val="7"/>
    </w:pPr>
    <w:rPr>
      <w:rFonts w:ascii="Calibri" w:eastAsia="Times New Roman" w:hAnsi="Calibri"/>
      <w:i/>
      <w:iCs/>
      <w:color w:val="000000"/>
      <w:lang w:eastAsia="cs-CZ"/>
    </w:rPr>
  </w:style>
  <w:style w:type="paragraph" w:styleId="Nadpis9">
    <w:name w:val="heading 9"/>
    <w:basedOn w:val="Normlny"/>
    <w:next w:val="Normlny"/>
    <w:link w:val="Nadpis9Char"/>
    <w:uiPriority w:val="99"/>
    <w:qFormat/>
    <w:rsid w:val="00B51749"/>
    <w:pPr>
      <w:numPr>
        <w:ilvl w:val="8"/>
        <w:numId w:val="18"/>
      </w:numPr>
      <w:spacing w:before="240" w:after="60"/>
      <w:outlineLvl w:val="8"/>
    </w:pPr>
    <w:rPr>
      <w:rFonts w:ascii="Arial" w:eastAsia="Times New Roman" w:hAnsi="Arial" w:cs="Arial"/>
      <w:color w:val="000000"/>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1749"/>
    <w:rPr>
      <w:rFonts w:ascii="Times New Roman" w:eastAsia="Times New Roman" w:hAnsi="Times New Roman" w:cs="Times New Roman"/>
      <w:b/>
      <w:bCs/>
      <w:color w:val="000000"/>
      <w:kern w:val="32"/>
      <w:sz w:val="32"/>
      <w:szCs w:val="32"/>
      <w:lang w:eastAsia="cs-CZ"/>
    </w:rPr>
  </w:style>
  <w:style w:type="character" w:customStyle="1" w:styleId="Nadpis2Char">
    <w:name w:val="Nadpis 2 Char"/>
    <w:basedOn w:val="Predvolenpsmoodseku"/>
    <w:link w:val="Nadpis2"/>
    <w:uiPriority w:val="9"/>
    <w:rsid w:val="00B51749"/>
    <w:rPr>
      <w:rFonts w:ascii="Times New Roman" w:eastAsia="Times New Roman" w:hAnsi="Times New Roman" w:cs="Times New Roman"/>
      <w:b/>
      <w:bCs/>
      <w:color w:val="000000"/>
      <w:sz w:val="28"/>
      <w:szCs w:val="28"/>
      <w:lang w:eastAsia="cs-CZ"/>
    </w:rPr>
  </w:style>
  <w:style w:type="character" w:customStyle="1" w:styleId="Nadpis3Char">
    <w:name w:val="Nadpis 3 Char"/>
    <w:basedOn w:val="Predvolenpsmoodseku"/>
    <w:link w:val="Nadpis3"/>
    <w:uiPriority w:val="9"/>
    <w:rsid w:val="00B51749"/>
    <w:rPr>
      <w:rFonts w:ascii="Times New Roman" w:eastAsia="Times New Roman" w:hAnsi="Times New Roman" w:cs="Times New Roman"/>
      <w:b/>
      <w:bCs/>
      <w:color w:val="000000"/>
      <w:sz w:val="24"/>
      <w:szCs w:val="24"/>
      <w:lang w:eastAsia="cs-CZ"/>
    </w:rPr>
  </w:style>
  <w:style w:type="character" w:customStyle="1" w:styleId="Nadpis4Char">
    <w:name w:val="Nadpis 4 Char"/>
    <w:basedOn w:val="Predvolenpsmoodseku"/>
    <w:link w:val="Nadpis4"/>
    <w:uiPriority w:val="99"/>
    <w:rsid w:val="00B51749"/>
    <w:rPr>
      <w:rFonts w:ascii="Times New Roman" w:eastAsia="Times New Roman" w:hAnsi="Times New Roman" w:cs="Times New Roman"/>
      <w:b/>
      <w:bCs/>
      <w:color w:val="000000"/>
      <w:sz w:val="28"/>
      <w:szCs w:val="28"/>
      <w:lang w:eastAsia="cs-CZ"/>
    </w:rPr>
  </w:style>
  <w:style w:type="character" w:customStyle="1" w:styleId="Nadpis5Char">
    <w:name w:val="Nadpis 5 Char"/>
    <w:basedOn w:val="Predvolenpsmoodseku"/>
    <w:link w:val="Nadpis5"/>
    <w:uiPriority w:val="9"/>
    <w:rsid w:val="00B51749"/>
    <w:rPr>
      <w:rFonts w:ascii="Calibri" w:eastAsia="MS Gothic" w:hAnsi="Calibri" w:cs="Times New Roman"/>
      <w:color w:val="243F60"/>
      <w:sz w:val="24"/>
      <w:szCs w:val="24"/>
    </w:rPr>
  </w:style>
  <w:style w:type="character" w:customStyle="1" w:styleId="Nadpis6Char">
    <w:name w:val="Nadpis 6 Char"/>
    <w:basedOn w:val="Predvolenpsmoodseku"/>
    <w:link w:val="Nadpis6"/>
    <w:semiHidden/>
    <w:rsid w:val="00B51749"/>
    <w:rPr>
      <w:rFonts w:ascii="Calibri" w:eastAsia="Times New Roman" w:hAnsi="Calibri" w:cs="Times New Roman"/>
      <w:b/>
      <w:bCs/>
      <w:color w:val="000000"/>
      <w:lang w:eastAsia="cs-CZ"/>
    </w:rPr>
  </w:style>
  <w:style w:type="character" w:customStyle="1" w:styleId="Nadpis7Char">
    <w:name w:val="Nadpis 7 Char"/>
    <w:basedOn w:val="Predvolenpsmoodseku"/>
    <w:link w:val="Nadpis7"/>
    <w:semiHidden/>
    <w:rsid w:val="00B51749"/>
    <w:rPr>
      <w:rFonts w:ascii="Calibri" w:eastAsia="Times New Roman" w:hAnsi="Calibri" w:cs="Times New Roman"/>
      <w:color w:val="000000"/>
      <w:sz w:val="24"/>
      <w:szCs w:val="24"/>
      <w:lang w:eastAsia="cs-CZ"/>
    </w:rPr>
  </w:style>
  <w:style w:type="character" w:customStyle="1" w:styleId="Nadpis8Char">
    <w:name w:val="Nadpis 8 Char"/>
    <w:basedOn w:val="Predvolenpsmoodseku"/>
    <w:link w:val="Nadpis8"/>
    <w:uiPriority w:val="9"/>
    <w:semiHidden/>
    <w:rsid w:val="00B51749"/>
    <w:rPr>
      <w:rFonts w:ascii="Calibri" w:eastAsia="Times New Roman" w:hAnsi="Calibri" w:cs="Times New Roman"/>
      <w:i/>
      <w:iCs/>
      <w:color w:val="000000"/>
      <w:sz w:val="24"/>
      <w:szCs w:val="24"/>
      <w:lang w:eastAsia="cs-CZ"/>
    </w:rPr>
  </w:style>
  <w:style w:type="character" w:customStyle="1" w:styleId="Nadpis9Char">
    <w:name w:val="Nadpis 9 Char"/>
    <w:basedOn w:val="Predvolenpsmoodseku"/>
    <w:link w:val="Nadpis9"/>
    <w:uiPriority w:val="99"/>
    <w:rsid w:val="00B51749"/>
    <w:rPr>
      <w:rFonts w:ascii="Arial" w:eastAsia="Times New Roman" w:hAnsi="Arial" w:cs="Arial"/>
      <w:color w:val="000000"/>
      <w:lang w:eastAsia="cs-CZ"/>
    </w:rPr>
  </w:style>
  <w:style w:type="paragraph" w:styleId="Hlavika">
    <w:name w:val="header"/>
    <w:basedOn w:val="Normlny"/>
    <w:link w:val="HlavikaChar"/>
    <w:uiPriority w:val="99"/>
    <w:unhideWhenUsed/>
    <w:rsid w:val="00B51749"/>
    <w:pPr>
      <w:tabs>
        <w:tab w:val="center" w:pos="4320"/>
        <w:tab w:val="right" w:pos="8640"/>
      </w:tabs>
    </w:pPr>
  </w:style>
  <w:style w:type="character" w:customStyle="1" w:styleId="HlavikaChar">
    <w:name w:val="Hlavička Char"/>
    <w:basedOn w:val="Predvolenpsmoodseku"/>
    <w:link w:val="Hlavika"/>
    <w:uiPriority w:val="99"/>
    <w:rsid w:val="00B51749"/>
    <w:rPr>
      <w:rFonts w:ascii="Cambria" w:eastAsia="MS Mincho" w:hAnsi="Cambria" w:cs="Times New Roman"/>
      <w:sz w:val="24"/>
      <w:szCs w:val="24"/>
    </w:rPr>
  </w:style>
  <w:style w:type="paragraph" w:styleId="Pta">
    <w:name w:val="footer"/>
    <w:basedOn w:val="Normlny"/>
    <w:link w:val="PtaChar"/>
    <w:uiPriority w:val="99"/>
    <w:unhideWhenUsed/>
    <w:rsid w:val="00B51749"/>
    <w:pPr>
      <w:tabs>
        <w:tab w:val="center" w:pos="4320"/>
        <w:tab w:val="right" w:pos="8640"/>
      </w:tabs>
    </w:pPr>
  </w:style>
  <w:style w:type="character" w:customStyle="1" w:styleId="PtaChar">
    <w:name w:val="Päta Char"/>
    <w:basedOn w:val="Predvolenpsmoodseku"/>
    <w:link w:val="Pta"/>
    <w:uiPriority w:val="99"/>
    <w:rsid w:val="00B51749"/>
    <w:rPr>
      <w:rFonts w:ascii="Cambria" w:eastAsia="MS Mincho" w:hAnsi="Cambria" w:cs="Times New Roman"/>
      <w:sz w:val="24"/>
      <w:szCs w:val="24"/>
    </w:rPr>
  </w:style>
  <w:style w:type="paragraph" w:styleId="Textbubliny">
    <w:name w:val="Balloon Text"/>
    <w:basedOn w:val="Normlny"/>
    <w:link w:val="TextbublinyChar"/>
    <w:uiPriority w:val="99"/>
    <w:semiHidden/>
    <w:unhideWhenUsed/>
    <w:rsid w:val="00B51749"/>
    <w:rPr>
      <w:rFonts w:ascii="Lucida Grande" w:hAnsi="Lucida Grande"/>
      <w:sz w:val="18"/>
      <w:szCs w:val="18"/>
    </w:rPr>
  </w:style>
  <w:style w:type="character" w:customStyle="1" w:styleId="TextbublinyChar">
    <w:name w:val="Text bubliny Char"/>
    <w:basedOn w:val="Predvolenpsmoodseku"/>
    <w:link w:val="Textbubliny"/>
    <w:uiPriority w:val="99"/>
    <w:semiHidden/>
    <w:rsid w:val="00B51749"/>
    <w:rPr>
      <w:rFonts w:ascii="Lucida Grande" w:eastAsia="MS Mincho" w:hAnsi="Lucida Grande" w:cs="Times New Roman"/>
      <w:sz w:val="18"/>
      <w:szCs w:val="18"/>
    </w:rPr>
  </w:style>
  <w:style w:type="character" w:styleId="slostrany">
    <w:name w:val="page number"/>
    <w:basedOn w:val="Predvolenpsmoodseku"/>
    <w:uiPriority w:val="99"/>
    <w:unhideWhenUsed/>
    <w:rsid w:val="00B51749"/>
  </w:style>
  <w:style w:type="paragraph" w:customStyle="1" w:styleId="Default">
    <w:name w:val="Default"/>
    <w:rsid w:val="00B51749"/>
    <w:pPr>
      <w:widowControl w:val="0"/>
      <w:autoSpaceDE w:val="0"/>
      <w:autoSpaceDN w:val="0"/>
      <w:adjustRightInd w:val="0"/>
      <w:spacing w:after="0" w:line="240" w:lineRule="auto"/>
    </w:pPr>
    <w:rPr>
      <w:rFonts w:ascii="Myriad Pro" w:eastAsia="MS Mincho" w:hAnsi="Myriad Pro" w:cs="Myriad Pro"/>
      <w:color w:val="000000"/>
      <w:sz w:val="24"/>
      <w:szCs w:val="24"/>
      <w:lang w:val="en-US"/>
    </w:rPr>
  </w:style>
  <w:style w:type="paragraph" w:styleId="Odsekzoznamu">
    <w:name w:val="List Paragraph"/>
    <w:basedOn w:val="Normlny"/>
    <w:uiPriority w:val="34"/>
    <w:qFormat/>
    <w:rsid w:val="00B51749"/>
    <w:pPr>
      <w:spacing w:after="200" w:line="276" w:lineRule="auto"/>
      <w:ind w:left="720"/>
      <w:contextualSpacing/>
    </w:pPr>
    <w:rPr>
      <w:rFonts w:ascii="Calibri" w:eastAsia="Calibri" w:hAnsi="Calibri"/>
      <w:sz w:val="22"/>
      <w:szCs w:val="22"/>
    </w:rPr>
  </w:style>
  <w:style w:type="character" w:styleId="Hypertextovprepojenie">
    <w:name w:val="Hyperlink"/>
    <w:uiPriority w:val="99"/>
    <w:rsid w:val="00B51749"/>
    <w:rPr>
      <w:rFonts w:cs="Times New Roman"/>
      <w:color w:val="0000FF"/>
      <w:u w:val="single"/>
    </w:rPr>
  </w:style>
  <w:style w:type="character" w:customStyle="1" w:styleId="TextkomentraChar">
    <w:name w:val="Text komentára Char"/>
    <w:basedOn w:val="Predvolenpsmoodseku"/>
    <w:link w:val="Textkomentra"/>
    <w:uiPriority w:val="99"/>
    <w:semiHidden/>
    <w:rsid w:val="00B51749"/>
    <w:rPr>
      <w:rFonts w:ascii="Times New Roman" w:eastAsia="Times New Roman" w:hAnsi="Times New Roman" w:cs="Times New Roman"/>
      <w:color w:val="000000"/>
      <w:sz w:val="20"/>
      <w:szCs w:val="20"/>
      <w:lang w:eastAsia="cs-CZ"/>
    </w:rPr>
  </w:style>
  <w:style w:type="paragraph" w:styleId="Textkomentra">
    <w:name w:val="annotation text"/>
    <w:basedOn w:val="Normlny"/>
    <w:link w:val="TextkomentraChar"/>
    <w:uiPriority w:val="99"/>
    <w:semiHidden/>
    <w:unhideWhenUsed/>
    <w:rsid w:val="00B51749"/>
    <w:rPr>
      <w:rFonts w:ascii="Times New Roman" w:eastAsia="Times New Roman" w:hAnsi="Times New Roman"/>
      <w:color w:val="000000"/>
      <w:sz w:val="20"/>
      <w:szCs w:val="20"/>
      <w:lang w:eastAsia="cs-CZ"/>
    </w:rPr>
  </w:style>
  <w:style w:type="character" w:customStyle="1" w:styleId="PredmetkomentraChar">
    <w:name w:val="Predmet komentára Char"/>
    <w:basedOn w:val="TextkomentraChar"/>
    <w:link w:val="Predmetkomentra"/>
    <w:uiPriority w:val="99"/>
    <w:semiHidden/>
    <w:rsid w:val="00B51749"/>
    <w:rPr>
      <w:rFonts w:ascii="Times New Roman" w:eastAsia="Times New Roman" w:hAnsi="Times New Roman" w:cs="Times New Roman"/>
      <w:b/>
      <w:bCs/>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B51749"/>
    <w:rPr>
      <w:b/>
      <w:bCs/>
    </w:rPr>
  </w:style>
  <w:style w:type="paragraph" w:styleId="Normlnywebov">
    <w:name w:val="Normal (Web)"/>
    <w:basedOn w:val="Normlny"/>
    <w:uiPriority w:val="99"/>
    <w:rsid w:val="00B51749"/>
    <w:pPr>
      <w:spacing w:before="100" w:beforeAutospacing="1" w:after="100" w:afterAutospacing="1"/>
    </w:pPr>
    <w:rPr>
      <w:rFonts w:ascii="Times New Roman" w:eastAsia="Times New Roman" w:hAnsi="Times New Roman"/>
    </w:rPr>
  </w:style>
  <w:style w:type="paragraph" w:styleId="Bezriadkovania">
    <w:name w:val="No Spacing"/>
    <w:uiPriority w:val="99"/>
    <w:qFormat/>
    <w:rsid w:val="00B51749"/>
    <w:pPr>
      <w:spacing w:after="0" w:line="240" w:lineRule="auto"/>
    </w:pPr>
    <w:rPr>
      <w:rFonts w:ascii="Calibri" w:eastAsia="Times New Roman" w:hAnsi="Calibri" w:cs="Times New Roman"/>
    </w:rPr>
  </w:style>
  <w:style w:type="character" w:styleId="Siln">
    <w:name w:val="Strong"/>
    <w:uiPriority w:val="22"/>
    <w:qFormat/>
    <w:rsid w:val="00B51749"/>
    <w:rPr>
      <w:rFonts w:cs="Times New Roman"/>
      <w:b/>
    </w:rPr>
  </w:style>
  <w:style w:type="paragraph" w:styleId="Zkladntext">
    <w:name w:val="Body Text"/>
    <w:basedOn w:val="Normlny"/>
    <w:link w:val="ZkladntextChar"/>
    <w:rsid w:val="00B51749"/>
    <w:pPr>
      <w:spacing w:line="223" w:lineRule="auto"/>
    </w:pPr>
    <w:rPr>
      <w:rFonts w:ascii="Times New Roman" w:eastAsia="Times New Roman" w:hAnsi="Times New Roman"/>
      <w:color w:val="FF0000"/>
      <w:lang w:eastAsia="sk-SK"/>
    </w:rPr>
  </w:style>
  <w:style w:type="character" w:customStyle="1" w:styleId="ZkladntextChar">
    <w:name w:val="Základný text Char"/>
    <w:basedOn w:val="Predvolenpsmoodseku"/>
    <w:link w:val="Zkladntext"/>
    <w:rsid w:val="00B51749"/>
    <w:rPr>
      <w:rFonts w:ascii="Times New Roman" w:eastAsia="Times New Roman" w:hAnsi="Times New Roman" w:cs="Times New Roman"/>
      <w:color w:val="FF0000"/>
      <w:sz w:val="24"/>
      <w:szCs w:val="24"/>
      <w:lang w:eastAsia="sk-SK"/>
    </w:rPr>
  </w:style>
  <w:style w:type="paragraph" w:styleId="Obyajntext">
    <w:name w:val="Plain Text"/>
    <w:basedOn w:val="Normlny"/>
    <w:link w:val="ObyajntextChar"/>
    <w:uiPriority w:val="99"/>
    <w:unhideWhenUsed/>
    <w:rsid w:val="00B51749"/>
    <w:rPr>
      <w:rFonts w:ascii="Calibri" w:eastAsia="Times New Roman" w:hAnsi="Calibri"/>
      <w:sz w:val="22"/>
      <w:szCs w:val="21"/>
    </w:rPr>
  </w:style>
  <w:style w:type="character" w:customStyle="1" w:styleId="ObyajntextChar">
    <w:name w:val="Obyčajný text Char"/>
    <w:basedOn w:val="Predvolenpsmoodseku"/>
    <w:link w:val="Obyajntext"/>
    <w:uiPriority w:val="99"/>
    <w:rsid w:val="00B51749"/>
    <w:rPr>
      <w:rFonts w:ascii="Calibri" w:eastAsia="Times New Roman" w:hAnsi="Calibri" w:cs="Times New Roman"/>
      <w:szCs w:val="21"/>
    </w:rPr>
  </w:style>
  <w:style w:type="paragraph" w:styleId="Podtitul">
    <w:name w:val="Subtitle"/>
    <w:basedOn w:val="Normlny"/>
    <w:link w:val="PodtitulChar"/>
    <w:uiPriority w:val="11"/>
    <w:qFormat/>
    <w:rsid w:val="00B51749"/>
    <w:rPr>
      <w:rFonts w:eastAsia="Times New Roman"/>
      <w:i/>
      <w:iCs/>
      <w:color w:val="4F81BD"/>
      <w:spacing w:val="15"/>
    </w:rPr>
  </w:style>
  <w:style w:type="character" w:customStyle="1" w:styleId="PodtitulChar">
    <w:name w:val="Podtitul Char"/>
    <w:basedOn w:val="Predvolenpsmoodseku"/>
    <w:link w:val="Podtitul"/>
    <w:uiPriority w:val="11"/>
    <w:rsid w:val="00B51749"/>
    <w:rPr>
      <w:rFonts w:ascii="Cambria" w:eastAsia="Times New Roman" w:hAnsi="Cambria" w:cs="Times New Roman"/>
      <w:i/>
      <w:iCs/>
      <w:color w:val="4F81BD"/>
      <w:spacing w:val="15"/>
      <w:sz w:val="24"/>
      <w:szCs w:val="24"/>
    </w:rPr>
  </w:style>
  <w:style w:type="paragraph" w:styleId="Textpoznmkypodiarou">
    <w:name w:val="footnote text"/>
    <w:basedOn w:val="Normlny"/>
    <w:link w:val="TextpoznmkypodiarouChar"/>
    <w:uiPriority w:val="99"/>
    <w:semiHidden/>
    <w:unhideWhenUsed/>
    <w:rsid w:val="00B51749"/>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51749"/>
    <w:rPr>
      <w:rFonts w:ascii="Times New Roman" w:eastAsia="Times New Roman" w:hAnsi="Times New Roman" w:cs="Times New Roman"/>
      <w:sz w:val="20"/>
      <w:szCs w:val="20"/>
      <w:lang w:eastAsia="sk-SK"/>
    </w:rPr>
  </w:style>
  <w:style w:type="paragraph" w:customStyle="1" w:styleId="tlArial11ptTunervenPodaokraja">
    <w:name w:val="Štýl Arial 11 pt Tučné Červená Podľa okraja"/>
    <w:basedOn w:val="Normlny"/>
    <w:rsid w:val="00B51749"/>
    <w:rPr>
      <w:rFonts w:ascii="Arial" w:eastAsia="Times New Roman" w:hAnsi="Arial"/>
      <w:bCs/>
      <w:sz w:val="22"/>
      <w:szCs w:val="20"/>
      <w:lang w:eastAsia="cs-CZ"/>
    </w:rPr>
  </w:style>
  <w:style w:type="character" w:styleId="Odkaznapoznmkupodiarou">
    <w:name w:val="footnote reference"/>
    <w:uiPriority w:val="99"/>
    <w:semiHidden/>
    <w:unhideWhenUsed/>
    <w:rsid w:val="00B51749"/>
    <w:rPr>
      <w:rFonts w:cs="Times New Roman"/>
      <w:vertAlign w:val="superscript"/>
    </w:rPr>
  </w:style>
  <w:style w:type="character" w:customStyle="1" w:styleId="ZarkazkladnhotextuChar">
    <w:name w:val="Zarážka základného textu Char"/>
    <w:basedOn w:val="Predvolenpsmoodseku"/>
    <w:link w:val="Zarkazkladnhotextu"/>
    <w:uiPriority w:val="99"/>
    <w:semiHidden/>
    <w:rsid w:val="00B51749"/>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B51749"/>
    <w:pPr>
      <w:spacing w:after="120"/>
      <w:ind w:left="283"/>
    </w:pPr>
    <w:rPr>
      <w:rFonts w:ascii="Times New Roman" w:eastAsia="Times New Roman" w:hAnsi="Times New Roman"/>
      <w:lang w:eastAsia="sk-SK"/>
    </w:rPr>
  </w:style>
  <w:style w:type="paragraph" w:styleId="Nzov">
    <w:name w:val="Title"/>
    <w:basedOn w:val="Normlny"/>
    <w:link w:val="NzovChar"/>
    <w:uiPriority w:val="99"/>
    <w:qFormat/>
    <w:rsid w:val="00B51749"/>
    <w:pPr>
      <w:jc w:val="center"/>
    </w:pPr>
    <w:rPr>
      <w:rFonts w:ascii="Times New Roman" w:eastAsia="Times New Roman" w:hAnsi="Times New Roman"/>
      <w:szCs w:val="20"/>
      <w:lang w:eastAsia="cs-CZ"/>
    </w:rPr>
  </w:style>
  <w:style w:type="character" w:customStyle="1" w:styleId="NzovChar">
    <w:name w:val="Názov Char"/>
    <w:basedOn w:val="Predvolenpsmoodseku"/>
    <w:link w:val="Nzov"/>
    <w:uiPriority w:val="99"/>
    <w:rsid w:val="00B51749"/>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semiHidden/>
    <w:unhideWhenUsed/>
    <w:rsid w:val="00B51749"/>
    <w:rPr>
      <w:rFonts w:ascii="Times New Roman" w:eastAsia="Times New Roman" w:hAnsi="Times New Roman"/>
      <w:sz w:val="22"/>
      <w:szCs w:val="20"/>
      <w:lang w:eastAsia="ko-KR"/>
    </w:rPr>
  </w:style>
  <w:style w:type="character" w:customStyle="1" w:styleId="Zkladntext2Char">
    <w:name w:val="Základný text 2 Char"/>
    <w:basedOn w:val="Predvolenpsmoodseku"/>
    <w:link w:val="Zkladntext2"/>
    <w:uiPriority w:val="99"/>
    <w:semiHidden/>
    <w:rsid w:val="00B51749"/>
    <w:rPr>
      <w:rFonts w:ascii="Times New Roman" w:eastAsia="Times New Roman" w:hAnsi="Times New Roman" w:cs="Times New Roman"/>
      <w:szCs w:val="20"/>
      <w:lang w:eastAsia="ko-KR"/>
    </w:rPr>
  </w:style>
  <w:style w:type="character" w:customStyle="1" w:styleId="apple-converted-space">
    <w:name w:val="apple-converted-space"/>
    <w:rsid w:val="00B51749"/>
  </w:style>
  <w:style w:type="paragraph" w:customStyle="1" w:styleId="vchoz">
    <w:name w:val="vchoz"/>
    <w:basedOn w:val="Normlny"/>
    <w:rsid w:val="00B51749"/>
    <w:pPr>
      <w:spacing w:before="100" w:beforeAutospacing="1" w:after="100" w:afterAutospacing="1"/>
    </w:pPr>
    <w:rPr>
      <w:rFonts w:ascii="Times New Roman" w:eastAsia="Times New Roman" w:hAnsi="Times New Roman"/>
      <w:lang w:eastAsia="sk-SK"/>
    </w:rPr>
  </w:style>
  <w:style w:type="character" w:styleId="Zvraznenie">
    <w:name w:val="Emphasis"/>
    <w:uiPriority w:val="20"/>
    <w:qFormat/>
    <w:rsid w:val="00B51749"/>
    <w:rPr>
      <w:rFonts w:cs="Times New Roman"/>
      <w:i/>
    </w:rPr>
  </w:style>
  <w:style w:type="paragraph" w:styleId="Zarkazkladnhotextu3">
    <w:name w:val="Body Text Indent 3"/>
    <w:basedOn w:val="Normlny"/>
    <w:link w:val="Zarkazkladnhotextu3Char"/>
    <w:uiPriority w:val="99"/>
    <w:semiHidden/>
    <w:unhideWhenUsed/>
    <w:rsid w:val="00B51749"/>
    <w:pPr>
      <w:spacing w:after="120"/>
      <w:ind w:left="283"/>
    </w:pPr>
    <w:rPr>
      <w:rFonts w:ascii="Times New Roman" w:eastAsia="Times New Roman" w:hAnsi="Times New Roman"/>
      <w:color w:val="000000"/>
      <w:sz w:val="16"/>
      <w:szCs w:val="16"/>
      <w:lang w:eastAsia="cs-CZ"/>
    </w:rPr>
  </w:style>
  <w:style w:type="character" w:customStyle="1" w:styleId="Zarkazkladnhotextu3Char">
    <w:name w:val="Zarážka základného textu 3 Char"/>
    <w:basedOn w:val="Predvolenpsmoodseku"/>
    <w:link w:val="Zarkazkladnhotextu3"/>
    <w:uiPriority w:val="99"/>
    <w:semiHidden/>
    <w:rsid w:val="00B51749"/>
    <w:rPr>
      <w:rFonts w:ascii="Times New Roman" w:eastAsia="Times New Roman" w:hAnsi="Times New Roman" w:cs="Times New Roman"/>
      <w:color w:val="000000"/>
      <w:sz w:val="16"/>
      <w:szCs w:val="16"/>
      <w:lang w:eastAsia="cs-CZ"/>
    </w:rPr>
  </w:style>
  <w:style w:type="paragraph" w:styleId="Popis">
    <w:name w:val="caption"/>
    <w:basedOn w:val="Normlny"/>
    <w:next w:val="Normlny"/>
    <w:uiPriority w:val="35"/>
    <w:unhideWhenUsed/>
    <w:qFormat/>
    <w:rsid w:val="00B51749"/>
    <w:rPr>
      <w:rFonts w:ascii="Times New Roman" w:eastAsia="Times New Roman" w:hAnsi="Times New Roman"/>
      <w:b/>
      <w:bCs/>
      <w:sz w:val="22"/>
      <w:szCs w:val="20"/>
    </w:rPr>
  </w:style>
  <w:style w:type="paragraph" w:styleId="Zkladntext3">
    <w:name w:val="Body Text 3"/>
    <w:basedOn w:val="Normlny"/>
    <w:link w:val="Zkladntext3Char"/>
    <w:uiPriority w:val="99"/>
    <w:semiHidden/>
    <w:unhideWhenUsed/>
    <w:rsid w:val="00B51749"/>
    <w:pPr>
      <w:spacing w:after="120"/>
    </w:pPr>
    <w:rPr>
      <w:rFonts w:ascii="Calibri" w:eastAsia="Times New Roman" w:hAnsi="Calibri"/>
      <w:sz w:val="16"/>
      <w:szCs w:val="16"/>
    </w:rPr>
  </w:style>
  <w:style w:type="character" w:customStyle="1" w:styleId="Zkladntext3Char">
    <w:name w:val="Základný text 3 Char"/>
    <w:basedOn w:val="Predvolenpsmoodseku"/>
    <w:link w:val="Zkladntext3"/>
    <w:uiPriority w:val="99"/>
    <w:semiHidden/>
    <w:rsid w:val="00B51749"/>
    <w:rPr>
      <w:rFonts w:ascii="Calibri" w:eastAsia="Times New Roman" w:hAnsi="Calibri" w:cs="Times New Roman"/>
      <w:sz w:val="16"/>
      <w:szCs w:val="16"/>
    </w:rPr>
  </w:style>
  <w:style w:type="paragraph" w:styleId="Hlavikaobsahu">
    <w:name w:val="TOC Heading"/>
    <w:basedOn w:val="Nadpis1"/>
    <w:next w:val="Normlny"/>
    <w:uiPriority w:val="39"/>
    <w:unhideWhenUsed/>
    <w:qFormat/>
    <w:rsid w:val="00B51749"/>
    <w:pPr>
      <w:keepNext/>
      <w:keepLines/>
      <w:numPr>
        <w:numId w:val="0"/>
      </w:numPr>
      <w:spacing w:after="0" w:line="276" w:lineRule="auto"/>
      <w:jc w:val="left"/>
      <w:outlineLvl w:val="9"/>
    </w:pPr>
    <w:rPr>
      <w:rFonts w:ascii="Cambria" w:hAnsi="Cambria"/>
      <w:color w:val="365F91"/>
      <w:kern w:val="0"/>
      <w:sz w:val="28"/>
      <w:szCs w:val="28"/>
      <w:lang w:val="en-US" w:eastAsia="ja-JP"/>
    </w:rPr>
  </w:style>
  <w:style w:type="paragraph" w:styleId="Obsah1">
    <w:name w:val="toc 1"/>
    <w:basedOn w:val="Normlny"/>
    <w:next w:val="Normlny"/>
    <w:autoRedefine/>
    <w:uiPriority w:val="39"/>
    <w:rsid w:val="00B51749"/>
    <w:pPr>
      <w:spacing w:after="100"/>
    </w:pPr>
    <w:rPr>
      <w:rFonts w:ascii="Times New Roman" w:eastAsia="Times New Roman" w:hAnsi="Times New Roman"/>
      <w:color w:val="000000"/>
      <w:lang w:eastAsia="cs-CZ"/>
    </w:rPr>
  </w:style>
  <w:style w:type="paragraph" w:styleId="Obsah2">
    <w:name w:val="toc 2"/>
    <w:basedOn w:val="Normlny"/>
    <w:next w:val="Normlny"/>
    <w:autoRedefine/>
    <w:uiPriority w:val="39"/>
    <w:rsid w:val="00B51749"/>
    <w:pPr>
      <w:spacing w:after="100"/>
      <w:ind w:left="240"/>
    </w:pPr>
    <w:rPr>
      <w:rFonts w:ascii="Times New Roman" w:eastAsia="Times New Roman" w:hAnsi="Times New Roman"/>
      <w:color w:val="000000"/>
      <w:lang w:eastAsia="cs-CZ"/>
    </w:rPr>
  </w:style>
  <w:style w:type="paragraph" w:styleId="Obsah3">
    <w:name w:val="toc 3"/>
    <w:basedOn w:val="Normlny"/>
    <w:next w:val="Normlny"/>
    <w:autoRedefine/>
    <w:uiPriority w:val="39"/>
    <w:rsid w:val="005B5DB2"/>
    <w:pPr>
      <w:tabs>
        <w:tab w:val="left" w:pos="1320"/>
        <w:tab w:val="right" w:leader="dot" w:pos="8296"/>
      </w:tabs>
      <w:spacing w:after="100"/>
      <w:ind w:left="480"/>
      <w:jc w:val="left"/>
    </w:pPr>
    <w:rPr>
      <w:rFonts w:eastAsia="Times New Roman"/>
      <w:noProof/>
      <w:color w:val="000000"/>
      <w:lang w:eastAsia="cs-CZ"/>
    </w:rPr>
  </w:style>
  <w:style w:type="character" w:customStyle="1" w:styleId="snormalnyChar">
    <w:name w:val="s_normalny Char"/>
    <w:link w:val="snormalny"/>
    <w:locked/>
    <w:rsid w:val="00B51749"/>
    <w:rPr>
      <w:rFonts w:ascii="Arial" w:eastAsia="Times New Roman" w:hAnsi="Arial" w:cs="Arial"/>
      <w:color w:val="1F497D"/>
      <w:szCs w:val="24"/>
    </w:rPr>
  </w:style>
  <w:style w:type="paragraph" w:customStyle="1" w:styleId="snormalny">
    <w:name w:val="s_normalny"/>
    <w:basedOn w:val="Normlny"/>
    <w:link w:val="snormalnyChar"/>
    <w:qFormat/>
    <w:rsid w:val="00B51749"/>
    <w:pPr>
      <w:spacing w:after="200" w:line="276" w:lineRule="auto"/>
      <w:jc w:val="left"/>
    </w:pPr>
    <w:rPr>
      <w:rFonts w:ascii="Arial" w:eastAsia="Times New Roman" w:hAnsi="Arial" w:cs="Arial"/>
      <w:color w:val="1F497D"/>
      <w:sz w:val="22"/>
    </w:rPr>
  </w:style>
  <w:style w:type="character" w:styleId="Odkaznakomentr">
    <w:name w:val="annotation reference"/>
    <w:basedOn w:val="Predvolenpsmoodseku"/>
    <w:uiPriority w:val="99"/>
    <w:semiHidden/>
    <w:unhideWhenUsed/>
    <w:rsid w:val="00AE19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749"/>
    <w:pPr>
      <w:spacing w:after="0" w:line="240" w:lineRule="auto"/>
      <w:jc w:val="both"/>
    </w:pPr>
    <w:rPr>
      <w:rFonts w:ascii="Cambria" w:eastAsia="MS Mincho" w:hAnsi="Cambria" w:cs="Times New Roman"/>
      <w:sz w:val="24"/>
      <w:szCs w:val="24"/>
    </w:rPr>
  </w:style>
  <w:style w:type="paragraph" w:styleId="Nadpis1">
    <w:name w:val="heading 1"/>
    <w:basedOn w:val="Normlny"/>
    <w:next w:val="Normlny"/>
    <w:link w:val="Nadpis1Char"/>
    <w:uiPriority w:val="9"/>
    <w:qFormat/>
    <w:rsid w:val="00B51749"/>
    <w:pPr>
      <w:numPr>
        <w:numId w:val="18"/>
      </w:numPr>
      <w:spacing w:before="480" w:after="240"/>
      <w:jc w:val="center"/>
      <w:outlineLvl w:val="0"/>
    </w:pPr>
    <w:rPr>
      <w:rFonts w:ascii="Times New Roman" w:eastAsia="Times New Roman" w:hAnsi="Times New Roman"/>
      <w:b/>
      <w:bCs/>
      <w:color w:val="000000"/>
      <w:kern w:val="32"/>
      <w:sz w:val="32"/>
      <w:szCs w:val="32"/>
      <w:lang w:eastAsia="cs-CZ"/>
    </w:rPr>
  </w:style>
  <w:style w:type="paragraph" w:styleId="Nadpis2">
    <w:name w:val="heading 2"/>
    <w:basedOn w:val="Normlny"/>
    <w:next w:val="Normlny"/>
    <w:link w:val="Nadpis2Char"/>
    <w:uiPriority w:val="9"/>
    <w:qFormat/>
    <w:rsid w:val="00B51749"/>
    <w:pPr>
      <w:keepNext/>
      <w:numPr>
        <w:ilvl w:val="1"/>
        <w:numId w:val="18"/>
      </w:numPr>
      <w:spacing w:before="240" w:after="240"/>
      <w:jc w:val="center"/>
      <w:outlineLvl w:val="1"/>
    </w:pPr>
    <w:rPr>
      <w:rFonts w:ascii="Times New Roman" w:eastAsia="Times New Roman" w:hAnsi="Times New Roman"/>
      <w:b/>
      <w:bCs/>
      <w:color w:val="000000"/>
      <w:sz w:val="28"/>
      <w:szCs w:val="28"/>
      <w:lang w:eastAsia="cs-CZ"/>
    </w:rPr>
  </w:style>
  <w:style w:type="paragraph" w:styleId="Nadpis3">
    <w:name w:val="heading 3"/>
    <w:basedOn w:val="Normlny"/>
    <w:next w:val="Normlny"/>
    <w:link w:val="Nadpis3Char"/>
    <w:uiPriority w:val="9"/>
    <w:qFormat/>
    <w:rsid w:val="00B51749"/>
    <w:pPr>
      <w:keepNext/>
      <w:numPr>
        <w:ilvl w:val="2"/>
        <w:numId w:val="18"/>
      </w:numPr>
      <w:spacing w:before="120" w:after="120"/>
      <w:ind w:left="0" w:firstLine="0"/>
      <w:jc w:val="center"/>
      <w:outlineLvl w:val="2"/>
    </w:pPr>
    <w:rPr>
      <w:rFonts w:ascii="Times New Roman" w:eastAsia="Times New Roman" w:hAnsi="Times New Roman"/>
      <w:b/>
      <w:bCs/>
      <w:color w:val="000000"/>
      <w:lang w:eastAsia="cs-CZ"/>
    </w:rPr>
  </w:style>
  <w:style w:type="paragraph" w:styleId="Nadpis4">
    <w:name w:val="heading 4"/>
    <w:basedOn w:val="Normlny"/>
    <w:next w:val="Normlny"/>
    <w:link w:val="Nadpis4Char"/>
    <w:uiPriority w:val="99"/>
    <w:qFormat/>
    <w:rsid w:val="00B51749"/>
    <w:pPr>
      <w:keepNext/>
      <w:numPr>
        <w:ilvl w:val="3"/>
        <w:numId w:val="18"/>
      </w:numPr>
      <w:spacing w:before="240" w:after="60"/>
      <w:outlineLvl w:val="3"/>
    </w:pPr>
    <w:rPr>
      <w:rFonts w:ascii="Times New Roman" w:eastAsia="Times New Roman" w:hAnsi="Times New Roman"/>
      <w:b/>
      <w:bCs/>
      <w:color w:val="000000"/>
      <w:sz w:val="28"/>
      <w:szCs w:val="28"/>
      <w:lang w:eastAsia="cs-CZ"/>
    </w:rPr>
  </w:style>
  <w:style w:type="paragraph" w:styleId="Nadpis5">
    <w:name w:val="heading 5"/>
    <w:basedOn w:val="Normlny"/>
    <w:next w:val="Normlny"/>
    <w:link w:val="Nadpis5Char"/>
    <w:uiPriority w:val="9"/>
    <w:unhideWhenUsed/>
    <w:qFormat/>
    <w:rsid w:val="00B51749"/>
    <w:pPr>
      <w:keepNext/>
      <w:keepLines/>
      <w:numPr>
        <w:ilvl w:val="4"/>
        <w:numId w:val="18"/>
      </w:numPr>
      <w:spacing w:before="200"/>
      <w:outlineLvl w:val="4"/>
    </w:pPr>
    <w:rPr>
      <w:rFonts w:ascii="Calibri" w:eastAsia="MS Gothic" w:hAnsi="Calibri"/>
      <w:color w:val="243F60"/>
    </w:rPr>
  </w:style>
  <w:style w:type="paragraph" w:styleId="Nadpis6">
    <w:name w:val="heading 6"/>
    <w:basedOn w:val="Normlny"/>
    <w:next w:val="Normlny"/>
    <w:link w:val="Nadpis6Char"/>
    <w:semiHidden/>
    <w:unhideWhenUsed/>
    <w:qFormat/>
    <w:rsid w:val="00B51749"/>
    <w:pPr>
      <w:numPr>
        <w:ilvl w:val="5"/>
        <w:numId w:val="18"/>
      </w:numPr>
      <w:spacing w:before="240" w:after="60"/>
      <w:outlineLvl w:val="5"/>
    </w:pPr>
    <w:rPr>
      <w:rFonts w:ascii="Calibri" w:eastAsia="Times New Roman" w:hAnsi="Calibri"/>
      <w:b/>
      <w:bCs/>
      <w:color w:val="000000"/>
      <w:sz w:val="22"/>
      <w:szCs w:val="22"/>
      <w:lang w:eastAsia="cs-CZ"/>
    </w:rPr>
  </w:style>
  <w:style w:type="paragraph" w:styleId="Nadpis7">
    <w:name w:val="heading 7"/>
    <w:basedOn w:val="Normlny"/>
    <w:next w:val="Normlny"/>
    <w:link w:val="Nadpis7Char"/>
    <w:semiHidden/>
    <w:unhideWhenUsed/>
    <w:qFormat/>
    <w:rsid w:val="00B51749"/>
    <w:pPr>
      <w:numPr>
        <w:ilvl w:val="6"/>
        <w:numId w:val="18"/>
      </w:numPr>
      <w:spacing w:before="240" w:after="60"/>
      <w:outlineLvl w:val="6"/>
    </w:pPr>
    <w:rPr>
      <w:rFonts w:ascii="Calibri" w:eastAsia="Times New Roman" w:hAnsi="Calibri"/>
      <w:color w:val="000000"/>
      <w:lang w:eastAsia="cs-CZ"/>
    </w:rPr>
  </w:style>
  <w:style w:type="paragraph" w:styleId="Nadpis8">
    <w:name w:val="heading 8"/>
    <w:basedOn w:val="Normlny"/>
    <w:next w:val="Normlny"/>
    <w:link w:val="Nadpis8Char"/>
    <w:uiPriority w:val="9"/>
    <w:semiHidden/>
    <w:unhideWhenUsed/>
    <w:qFormat/>
    <w:rsid w:val="00B51749"/>
    <w:pPr>
      <w:numPr>
        <w:ilvl w:val="7"/>
        <w:numId w:val="18"/>
      </w:numPr>
      <w:spacing w:before="240" w:after="60"/>
      <w:outlineLvl w:val="7"/>
    </w:pPr>
    <w:rPr>
      <w:rFonts w:ascii="Calibri" w:eastAsia="Times New Roman" w:hAnsi="Calibri"/>
      <w:i/>
      <w:iCs/>
      <w:color w:val="000000"/>
      <w:lang w:eastAsia="cs-CZ"/>
    </w:rPr>
  </w:style>
  <w:style w:type="paragraph" w:styleId="Nadpis9">
    <w:name w:val="heading 9"/>
    <w:basedOn w:val="Normlny"/>
    <w:next w:val="Normlny"/>
    <w:link w:val="Nadpis9Char"/>
    <w:uiPriority w:val="99"/>
    <w:qFormat/>
    <w:rsid w:val="00B51749"/>
    <w:pPr>
      <w:numPr>
        <w:ilvl w:val="8"/>
        <w:numId w:val="18"/>
      </w:numPr>
      <w:spacing w:before="240" w:after="60"/>
      <w:outlineLvl w:val="8"/>
    </w:pPr>
    <w:rPr>
      <w:rFonts w:ascii="Arial" w:eastAsia="Times New Roman" w:hAnsi="Arial" w:cs="Arial"/>
      <w:color w:val="000000"/>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1749"/>
    <w:rPr>
      <w:rFonts w:ascii="Times New Roman" w:eastAsia="Times New Roman" w:hAnsi="Times New Roman" w:cs="Times New Roman"/>
      <w:b/>
      <w:bCs/>
      <w:color w:val="000000"/>
      <w:kern w:val="32"/>
      <w:sz w:val="32"/>
      <w:szCs w:val="32"/>
      <w:lang w:eastAsia="cs-CZ"/>
    </w:rPr>
  </w:style>
  <w:style w:type="character" w:customStyle="1" w:styleId="Nadpis2Char">
    <w:name w:val="Nadpis 2 Char"/>
    <w:basedOn w:val="Predvolenpsmoodseku"/>
    <w:link w:val="Nadpis2"/>
    <w:uiPriority w:val="9"/>
    <w:rsid w:val="00B51749"/>
    <w:rPr>
      <w:rFonts w:ascii="Times New Roman" w:eastAsia="Times New Roman" w:hAnsi="Times New Roman" w:cs="Times New Roman"/>
      <w:b/>
      <w:bCs/>
      <w:color w:val="000000"/>
      <w:sz w:val="28"/>
      <w:szCs w:val="28"/>
      <w:lang w:eastAsia="cs-CZ"/>
    </w:rPr>
  </w:style>
  <w:style w:type="character" w:customStyle="1" w:styleId="Nadpis3Char">
    <w:name w:val="Nadpis 3 Char"/>
    <w:basedOn w:val="Predvolenpsmoodseku"/>
    <w:link w:val="Nadpis3"/>
    <w:uiPriority w:val="9"/>
    <w:rsid w:val="00B51749"/>
    <w:rPr>
      <w:rFonts w:ascii="Times New Roman" w:eastAsia="Times New Roman" w:hAnsi="Times New Roman" w:cs="Times New Roman"/>
      <w:b/>
      <w:bCs/>
      <w:color w:val="000000"/>
      <w:sz w:val="24"/>
      <w:szCs w:val="24"/>
      <w:lang w:eastAsia="cs-CZ"/>
    </w:rPr>
  </w:style>
  <w:style w:type="character" w:customStyle="1" w:styleId="Nadpis4Char">
    <w:name w:val="Nadpis 4 Char"/>
    <w:basedOn w:val="Predvolenpsmoodseku"/>
    <w:link w:val="Nadpis4"/>
    <w:uiPriority w:val="99"/>
    <w:rsid w:val="00B51749"/>
    <w:rPr>
      <w:rFonts w:ascii="Times New Roman" w:eastAsia="Times New Roman" w:hAnsi="Times New Roman" w:cs="Times New Roman"/>
      <w:b/>
      <w:bCs/>
      <w:color w:val="000000"/>
      <w:sz w:val="28"/>
      <w:szCs w:val="28"/>
      <w:lang w:eastAsia="cs-CZ"/>
    </w:rPr>
  </w:style>
  <w:style w:type="character" w:customStyle="1" w:styleId="Nadpis5Char">
    <w:name w:val="Nadpis 5 Char"/>
    <w:basedOn w:val="Predvolenpsmoodseku"/>
    <w:link w:val="Nadpis5"/>
    <w:uiPriority w:val="9"/>
    <w:rsid w:val="00B51749"/>
    <w:rPr>
      <w:rFonts w:ascii="Calibri" w:eastAsia="MS Gothic" w:hAnsi="Calibri" w:cs="Times New Roman"/>
      <w:color w:val="243F60"/>
      <w:sz w:val="24"/>
      <w:szCs w:val="24"/>
    </w:rPr>
  </w:style>
  <w:style w:type="character" w:customStyle="1" w:styleId="Nadpis6Char">
    <w:name w:val="Nadpis 6 Char"/>
    <w:basedOn w:val="Predvolenpsmoodseku"/>
    <w:link w:val="Nadpis6"/>
    <w:semiHidden/>
    <w:rsid w:val="00B51749"/>
    <w:rPr>
      <w:rFonts w:ascii="Calibri" w:eastAsia="Times New Roman" w:hAnsi="Calibri" w:cs="Times New Roman"/>
      <w:b/>
      <w:bCs/>
      <w:color w:val="000000"/>
      <w:lang w:eastAsia="cs-CZ"/>
    </w:rPr>
  </w:style>
  <w:style w:type="character" w:customStyle="1" w:styleId="Nadpis7Char">
    <w:name w:val="Nadpis 7 Char"/>
    <w:basedOn w:val="Predvolenpsmoodseku"/>
    <w:link w:val="Nadpis7"/>
    <w:semiHidden/>
    <w:rsid w:val="00B51749"/>
    <w:rPr>
      <w:rFonts w:ascii="Calibri" w:eastAsia="Times New Roman" w:hAnsi="Calibri" w:cs="Times New Roman"/>
      <w:color w:val="000000"/>
      <w:sz w:val="24"/>
      <w:szCs w:val="24"/>
      <w:lang w:eastAsia="cs-CZ"/>
    </w:rPr>
  </w:style>
  <w:style w:type="character" w:customStyle="1" w:styleId="Nadpis8Char">
    <w:name w:val="Nadpis 8 Char"/>
    <w:basedOn w:val="Predvolenpsmoodseku"/>
    <w:link w:val="Nadpis8"/>
    <w:uiPriority w:val="9"/>
    <w:semiHidden/>
    <w:rsid w:val="00B51749"/>
    <w:rPr>
      <w:rFonts w:ascii="Calibri" w:eastAsia="Times New Roman" w:hAnsi="Calibri" w:cs="Times New Roman"/>
      <w:i/>
      <w:iCs/>
      <w:color w:val="000000"/>
      <w:sz w:val="24"/>
      <w:szCs w:val="24"/>
      <w:lang w:eastAsia="cs-CZ"/>
    </w:rPr>
  </w:style>
  <w:style w:type="character" w:customStyle="1" w:styleId="Nadpis9Char">
    <w:name w:val="Nadpis 9 Char"/>
    <w:basedOn w:val="Predvolenpsmoodseku"/>
    <w:link w:val="Nadpis9"/>
    <w:uiPriority w:val="99"/>
    <w:rsid w:val="00B51749"/>
    <w:rPr>
      <w:rFonts w:ascii="Arial" w:eastAsia="Times New Roman" w:hAnsi="Arial" w:cs="Arial"/>
      <w:color w:val="000000"/>
      <w:lang w:eastAsia="cs-CZ"/>
    </w:rPr>
  </w:style>
  <w:style w:type="paragraph" w:styleId="Hlavika">
    <w:name w:val="header"/>
    <w:basedOn w:val="Normlny"/>
    <w:link w:val="HlavikaChar"/>
    <w:uiPriority w:val="99"/>
    <w:unhideWhenUsed/>
    <w:rsid w:val="00B51749"/>
    <w:pPr>
      <w:tabs>
        <w:tab w:val="center" w:pos="4320"/>
        <w:tab w:val="right" w:pos="8640"/>
      </w:tabs>
    </w:pPr>
  </w:style>
  <w:style w:type="character" w:customStyle="1" w:styleId="HlavikaChar">
    <w:name w:val="Hlavička Char"/>
    <w:basedOn w:val="Predvolenpsmoodseku"/>
    <w:link w:val="Hlavika"/>
    <w:uiPriority w:val="99"/>
    <w:rsid w:val="00B51749"/>
    <w:rPr>
      <w:rFonts w:ascii="Cambria" w:eastAsia="MS Mincho" w:hAnsi="Cambria" w:cs="Times New Roman"/>
      <w:sz w:val="24"/>
      <w:szCs w:val="24"/>
    </w:rPr>
  </w:style>
  <w:style w:type="paragraph" w:styleId="Pta">
    <w:name w:val="footer"/>
    <w:basedOn w:val="Normlny"/>
    <w:link w:val="PtaChar"/>
    <w:uiPriority w:val="99"/>
    <w:unhideWhenUsed/>
    <w:rsid w:val="00B51749"/>
    <w:pPr>
      <w:tabs>
        <w:tab w:val="center" w:pos="4320"/>
        <w:tab w:val="right" w:pos="8640"/>
      </w:tabs>
    </w:pPr>
  </w:style>
  <w:style w:type="character" w:customStyle="1" w:styleId="PtaChar">
    <w:name w:val="Päta Char"/>
    <w:basedOn w:val="Predvolenpsmoodseku"/>
    <w:link w:val="Pta"/>
    <w:uiPriority w:val="99"/>
    <w:rsid w:val="00B51749"/>
    <w:rPr>
      <w:rFonts w:ascii="Cambria" w:eastAsia="MS Mincho" w:hAnsi="Cambria" w:cs="Times New Roman"/>
      <w:sz w:val="24"/>
      <w:szCs w:val="24"/>
    </w:rPr>
  </w:style>
  <w:style w:type="paragraph" w:styleId="Textbubliny">
    <w:name w:val="Balloon Text"/>
    <w:basedOn w:val="Normlny"/>
    <w:link w:val="TextbublinyChar"/>
    <w:uiPriority w:val="99"/>
    <w:semiHidden/>
    <w:unhideWhenUsed/>
    <w:rsid w:val="00B51749"/>
    <w:rPr>
      <w:rFonts w:ascii="Lucida Grande" w:hAnsi="Lucida Grande"/>
      <w:sz w:val="18"/>
      <w:szCs w:val="18"/>
    </w:rPr>
  </w:style>
  <w:style w:type="character" w:customStyle="1" w:styleId="TextbublinyChar">
    <w:name w:val="Text bubliny Char"/>
    <w:basedOn w:val="Predvolenpsmoodseku"/>
    <w:link w:val="Textbubliny"/>
    <w:uiPriority w:val="99"/>
    <w:semiHidden/>
    <w:rsid w:val="00B51749"/>
    <w:rPr>
      <w:rFonts w:ascii="Lucida Grande" w:eastAsia="MS Mincho" w:hAnsi="Lucida Grande" w:cs="Times New Roman"/>
      <w:sz w:val="18"/>
      <w:szCs w:val="18"/>
    </w:rPr>
  </w:style>
  <w:style w:type="character" w:styleId="slostrany">
    <w:name w:val="page number"/>
    <w:basedOn w:val="Predvolenpsmoodseku"/>
    <w:uiPriority w:val="99"/>
    <w:unhideWhenUsed/>
    <w:rsid w:val="00B51749"/>
  </w:style>
  <w:style w:type="paragraph" w:customStyle="1" w:styleId="Default">
    <w:name w:val="Default"/>
    <w:rsid w:val="00B51749"/>
    <w:pPr>
      <w:widowControl w:val="0"/>
      <w:autoSpaceDE w:val="0"/>
      <w:autoSpaceDN w:val="0"/>
      <w:adjustRightInd w:val="0"/>
      <w:spacing w:after="0" w:line="240" w:lineRule="auto"/>
    </w:pPr>
    <w:rPr>
      <w:rFonts w:ascii="Myriad Pro" w:eastAsia="MS Mincho" w:hAnsi="Myriad Pro" w:cs="Myriad Pro"/>
      <w:color w:val="000000"/>
      <w:sz w:val="24"/>
      <w:szCs w:val="24"/>
      <w:lang w:val="en-US"/>
    </w:rPr>
  </w:style>
  <w:style w:type="paragraph" w:styleId="Odsekzoznamu">
    <w:name w:val="List Paragraph"/>
    <w:basedOn w:val="Normlny"/>
    <w:uiPriority w:val="34"/>
    <w:qFormat/>
    <w:rsid w:val="00B51749"/>
    <w:pPr>
      <w:spacing w:after="200" w:line="276" w:lineRule="auto"/>
      <w:ind w:left="720"/>
      <w:contextualSpacing/>
    </w:pPr>
    <w:rPr>
      <w:rFonts w:ascii="Calibri" w:eastAsia="Calibri" w:hAnsi="Calibri"/>
      <w:sz w:val="22"/>
      <w:szCs w:val="22"/>
    </w:rPr>
  </w:style>
  <w:style w:type="character" w:styleId="Hypertextovprepojenie">
    <w:name w:val="Hyperlink"/>
    <w:uiPriority w:val="99"/>
    <w:rsid w:val="00B51749"/>
    <w:rPr>
      <w:rFonts w:cs="Times New Roman"/>
      <w:color w:val="0000FF"/>
      <w:u w:val="single"/>
    </w:rPr>
  </w:style>
  <w:style w:type="character" w:customStyle="1" w:styleId="TextkomentraChar">
    <w:name w:val="Text komentára Char"/>
    <w:basedOn w:val="Predvolenpsmoodseku"/>
    <w:link w:val="Textkomentra"/>
    <w:uiPriority w:val="99"/>
    <w:semiHidden/>
    <w:rsid w:val="00B51749"/>
    <w:rPr>
      <w:rFonts w:ascii="Times New Roman" w:eastAsia="Times New Roman" w:hAnsi="Times New Roman" w:cs="Times New Roman"/>
      <w:color w:val="000000"/>
      <w:sz w:val="20"/>
      <w:szCs w:val="20"/>
      <w:lang w:eastAsia="cs-CZ"/>
    </w:rPr>
  </w:style>
  <w:style w:type="paragraph" w:styleId="Textkomentra">
    <w:name w:val="annotation text"/>
    <w:basedOn w:val="Normlny"/>
    <w:link w:val="TextkomentraChar"/>
    <w:uiPriority w:val="99"/>
    <w:semiHidden/>
    <w:unhideWhenUsed/>
    <w:rsid w:val="00B51749"/>
    <w:rPr>
      <w:rFonts w:ascii="Times New Roman" w:eastAsia="Times New Roman" w:hAnsi="Times New Roman"/>
      <w:color w:val="000000"/>
      <w:sz w:val="20"/>
      <w:szCs w:val="20"/>
      <w:lang w:eastAsia="cs-CZ"/>
    </w:rPr>
  </w:style>
  <w:style w:type="character" w:customStyle="1" w:styleId="PredmetkomentraChar">
    <w:name w:val="Predmet komentára Char"/>
    <w:basedOn w:val="TextkomentraChar"/>
    <w:link w:val="Predmetkomentra"/>
    <w:uiPriority w:val="99"/>
    <w:semiHidden/>
    <w:rsid w:val="00B51749"/>
    <w:rPr>
      <w:rFonts w:ascii="Times New Roman" w:eastAsia="Times New Roman" w:hAnsi="Times New Roman" w:cs="Times New Roman"/>
      <w:b/>
      <w:bCs/>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B51749"/>
    <w:rPr>
      <w:b/>
      <w:bCs/>
    </w:rPr>
  </w:style>
  <w:style w:type="paragraph" w:styleId="Normlnywebov">
    <w:name w:val="Normal (Web)"/>
    <w:basedOn w:val="Normlny"/>
    <w:uiPriority w:val="99"/>
    <w:rsid w:val="00B51749"/>
    <w:pPr>
      <w:spacing w:before="100" w:beforeAutospacing="1" w:after="100" w:afterAutospacing="1"/>
    </w:pPr>
    <w:rPr>
      <w:rFonts w:ascii="Times New Roman" w:eastAsia="Times New Roman" w:hAnsi="Times New Roman"/>
    </w:rPr>
  </w:style>
  <w:style w:type="paragraph" w:styleId="Bezriadkovania">
    <w:name w:val="No Spacing"/>
    <w:uiPriority w:val="99"/>
    <w:qFormat/>
    <w:rsid w:val="00B51749"/>
    <w:pPr>
      <w:spacing w:after="0" w:line="240" w:lineRule="auto"/>
    </w:pPr>
    <w:rPr>
      <w:rFonts w:ascii="Calibri" w:eastAsia="Times New Roman" w:hAnsi="Calibri" w:cs="Times New Roman"/>
    </w:rPr>
  </w:style>
  <w:style w:type="character" w:styleId="Siln">
    <w:name w:val="Strong"/>
    <w:uiPriority w:val="22"/>
    <w:qFormat/>
    <w:rsid w:val="00B51749"/>
    <w:rPr>
      <w:rFonts w:cs="Times New Roman"/>
      <w:b/>
    </w:rPr>
  </w:style>
  <w:style w:type="paragraph" w:styleId="Zkladntext">
    <w:name w:val="Body Text"/>
    <w:basedOn w:val="Normlny"/>
    <w:link w:val="ZkladntextChar"/>
    <w:rsid w:val="00B51749"/>
    <w:pPr>
      <w:spacing w:line="223" w:lineRule="auto"/>
    </w:pPr>
    <w:rPr>
      <w:rFonts w:ascii="Times New Roman" w:eastAsia="Times New Roman" w:hAnsi="Times New Roman"/>
      <w:color w:val="FF0000"/>
      <w:lang w:eastAsia="sk-SK"/>
    </w:rPr>
  </w:style>
  <w:style w:type="character" w:customStyle="1" w:styleId="ZkladntextChar">
    <w:name w:val="Základný text Char"/>
    <w:basedOn w:val="Predvolenpsmoodseku"/>
    <w:link w:val="Zkladntext"/>
    <w:rsid w:val="00B51749"/>
    <w:rPr>
      <w:rFonts w:ascii="Times New Roman" w:eastAsia="Times New Roman" w:hAnsi="Times New Roman" w:cs="Times New Roman"/>
      <w:color w:val="FF0000"/>
      <w:sz w:val="24"/>
      <w:szCs w:val="24"/>
      <w:lang w:eastAsia="sk-SK"/>
    </w:rPr>
  </w:style>
  <w:style w:type="paragraph" w:styleId="Obyajntext">
    <w:name w:val="Plain Text"/>
    <w:basedOn w:val="Normlny"/>
    <w:link w:val="ObyajntextChar"/>
    <w:uiPriority w:val="99"/>
    <w:unhideWhenUsed/>
    <w:rsid w:val="00B51749"/>
    <w:rPr>
      <w:rFonts w:ascii="Calibri" w:eastAsia="Times New Roman" w:hAnsi="Calibri"/>
      <w:sz w:val="22"/>
      <w:szCs w:val="21"/>
    </w:rPr>
  </w:style>
  <w:style w:type="character" w:customStyle="1" w:styleId="ObyajntextChar">
    <w:name w:val="Obyčajný text Char"/>
    <w:basedOn w:val="Predvolenpsmoodseku"/>
    <w:link w:val="Obyajntext"/>
    <w:uiPriority w:val="99"/>
    <w:rsid w:val="00B51749"/>
    <w:rPr>
      <w:rFonts w:ascii="Calibri" w:eastAsia="Times New Roman" w:hAnsi="Calibri" w:cs="Times New Roman"/>
      <w:szCs w:val="21"/>
    </w:rPr>
  </w:style>
  <w:style w:type="paragraph" w:styleId="Podtitul">
    <w:name w:val="Subtitle"/>
    <w:basedOn w:val="Normlny"/>
    <w:link w:val="PodtitulChar"/>
    <w:uiPriority w:val="11"/>
    <w:qFormat/>
    <w:rsid w:val="00B51749"/>
    <w:rPr>
      <w:rFonts w:eastAsia="Times New Roman"/>
      <w:i/>
      <w:iCs/>
      <w:color w:val="4F81BD"/>
      <w:spacing w:val="15"/>
    </w:rPr>
  </w:style>
  <w:style w:type="character" w:customStyle="1" w:styleId="PodtitulChar">
    <w:name w:val="Podtitul Char"/>
    <w:basedOn w:val="Predvolenpsmoodseku"/>
    <w:link w:val="Podtitul"/>
    <w:uiPriority w:val="11"/>
    <w:rsid w:val="00B51749"/>
    <w:rPr>
      <w:rFonts w:ascii="Cambria" w:eastAsia="Times New Roman" w:hAnsi="Cambria" w:cs="Times New Roman"/>
      <w:i/>
      <w:iCs/>
      <w:color w:val="4F81BD"/>
      <w:spacing w:val="15"/>
      <w:sz w:val="24"/>
      <w:szCs w:val="24"/>
    </w:rPr>
  </w:style>
  <w:style w:type="paragraph" w:styleId="Textpoznmkypodiarou">
    <w:name w:val="footnote text"/>
    <w:basedOn w:val="Normlny"/>
    <w:link w:val="TextpoznmkypodiarouChar"/>
    <w:uiPriority w:val="99"/>
    <w:semiHidden/>
    <w:unhideWhenUsed/>
    <w:rsid w:val="00B51749"/>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51749"/>
    <w:rPr>
      <w:rFonts w:ascii="Times New Roman" w:eastAsia="Times New Roman" w:hAnsi="Times New Roman" w:cs="Times New Roman"/>
      <w:sz w:val="20"/>
      <w:szCs w:val="20"/>
      <w:lang w:eastAsia="sk-SK"/>
    </w:rPr>
  </w:style>
  <w:style w:type="paragraph" w:customStyle="1" w:styleId="tlArial11ptTunervenPodaokraja">
    <w:name w:val="Štýl Arial 11 pt Tučné Červená Podľa okraja"/>
    <w:basedOn w:val="Normlny"/>
    <w:rsid w:val="00B51749"/>
    <w:rPr>
      <w:rFonts w:ascii="Arial" w:eastAsia="Times New Roman" w:hAnsi="Arial"/>
      <w:bCs/>
      <w:sz w:val="22"/>
      <w:szCs w:val="20"/>
      <w:lang w:eastAsia="cs-CZ"/>
    </w:rPr>
  </w:style>
  <w:style w:type="character" w:styleId="Odkaznapoznmkupodiarou">
    <w:name w:val="footnote reference"/>
    <w:uiPriority w:val="99"/>
    <w:semiHidden/>
    <w:unhideWhenUsed/>
    <w:rsid w:val="00B51749"/>
    <w:rPr>
      <w:rFonts w:cs="Times New Roman"/>
      <w:vertAlign w:val="superscript"/>
    </w:rPr>
  </w:style>
  <w:style w:type="character" w:customStyle="1" w:styleId="ZarkazkladnhotextuChar">
    <w:name w:val="Zarážka základného textu Char"/>
    <w:basedOn w:val="Predvolenpsmoodseku"/>
    <w:link w:val="Zarkazkladnhotextu"/>
    <w:uiPriority w:val="99"/>
    <w:semiHidden/>
    <w:rsid w:val="00B51749"/>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B51749"/>
    <w:pPr>
      <w:spacing w:after="120"/>
      <w:ind w:left="283"/>
    </w:pPr>
    <w:rPr>
      <w:rFonts w:ascii="Times New Roman" w:eastAsia="Times New Roman" w:hAnsi="Times New Roman"/>
      <w:lang w:eastAsia="sk-SK"/>
    </w:rPr>
  </w:style>
  <w:style w:type="paragraph" w:styleId="Nzov">
    <w:name w:val="Title"/>
    <w:basedOn w:val="Normlny"/>
    <w:link w:val="NzovChar"/>
    <w:uiPriority w:val="99"/>
    <w:qFormat/>
    <w:rsid w:val="00B51749"/>
    <w:pPr>
      <w:jc w:val="center"/>
    </w:pPr>
    <w:rPr>
      <w:rFonts w:ascii="Times New Roman" w:eastAsia="Times New Roman" w:hAnsi="Times New Roman"/>
      <w:szCs w:val="20"/>
      <w:lang w:eastAsia="cs-CZ"/>
    </w:rPr>
  </w:style>
  <w:style w:type="character" w:customStyle="1" w:styleId="NzovChar">
    <w:name w:val="Názov Char"/>
    <w:basedOn w:val="Predvolenpsmoodseku"/>
    <w:link w:val="Nzov"/>
    <w:uiPriority w:val="99"/>
    <w:rsid w:val="00B51749"/>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semiHidden/>
    <w:unhideWhenUsed/>
    <w:rsid w:val="00B51749"/>
    <w:rPr>
      <w:rFonts w:ascii="Times New Roman" w:eastAsia="Times New Roman" w:hAnsi="Times New Roman"/>
      <w:sz w:val="22"/>
      <w:szCs w:val="20"/>
      <w:lang w:eastAsia="ko-KR"/>
    </w:rPr>
  </w:style>
  <w:style w:type="character" w:customStyle="1" w:styleId="Zkladntext2Char">
    <w:name w:val="Základný text 2 Char"/>
    <w:basedOn w:val="Predvolenpsmoodseku"/>
    <w:link w:val="Zkladntext2"/>
    <w:uiPriority w:val="99"/>
    <w:semiHidden/>
    <w:rsid w:val="00B51749"/>
    <w:rPr>
      <w:rFonts w:ascii="Times New Roman" w:eastAsia="Times New Roman" w:hAnsi="Times New Roman" w:cs="Times New Roman"/>
      <w:szCs w:val="20"/>
      <w:lang w:eastAsia="ko-KR"/>
    </w:rPr>
  </w:style>
  <w:style w:type="character" w:customStyle="1" w:styleId="apple-converted-space">
    <w:name w:val="apple-converted-space"/>
    <w:rsid w:val="00B51749"/>
  </w:style>
  <w:style w:type="paragraph" w:customStyle="1" w:styleId="vchoz">
    <w:name w:val="vchoz"/>
    <w:basedOn w:val="Normlny"/>
    <w:rsid w:val="00B51749"/>
    <w:pPr>
      <w:spacing w:before="100" w:beforeAutospacing="1" w:after="100" w:afterAutospacing="1"/>
    </w:pPr>
    <w:rPr>
      <w:rFonts w:ascii="Times New Roman" w:eastAsia="Times New Roman" w:hAnsi="Times New Roman"/>
      <w:lang w:eastAsia="sk-SK"/>
    </w:rPr>
  </w:style>
  <w:style w:type="character" w:styleId="Zvraznenie">
    <w:name w:val="Emphasis"/>
    <w:uiPriority w:val="20"/>
    <w:qFormat/>
    <w:rsid w:val="00B51749"/>
    <w:rPr>
      <w:rFonts w:cs="Times New Roman"/>
      <w:i/>
    </w:rPr>
  </w:style>
  <w:style w:type="paragraph" w:styleId="Zarkazkladnhotextu3">
    <w:name w:val="Body Text Indent 3"/>
    <w:basedOn w:val="Normlny"/>
    <w:link w:val="Zarkazkladnhotextu3Char"/>
    <w:uiPriority w:val="99"/>
    <w:semiHidden/>
    <w:unhideWhenUsed/>
    <w:rsid w:val="00B51749"/>
    <w:pPr>
      <w:spacing w:after="120"/>
      <w:ind w:left="283"/>
    </w:pPr>
    <w:rPr>
      <w:rFonts w:ascii="Times New Roman" w:eastAsia="Times New Roman" w:hAnsi="Times New Roman"/>
      <w:color w:val="000000"/>
      <w:sz w:val="16"/>
      <w:szCs w:val="16"/>
      <w:lang w:eastAsia="cs-CZ"/>
    </w:rPr>
  </w:style>
  <w:style w:type="character" w:customStyle="1" w:styleId="Zarkazkladnhotextu3Char">
    <w:name w:val="Zarážka základného textu 3 Char"/>
    <w:basedOn w:val="Predvolenpsmoodseku"/>
    <w:link w:val="Zarkazkladnhotextu3"/>
    <w:uiPriority w:val="99"/>
    <w:semiHidden/>
    <w:rsid w:val="00B51749"/>
    <w:rPr>
      <w:rFonts w:ascii="Times New Roman" w:eastAsia="Times New Roman" w:hAnsi="Times New Roman" w:cs="Times New Roman"/>
      <w:color w:val="000000"/>
      <w:sz w:val="16"/>
      <w:szCs w:val="16"/>
      <w:lang w:eastAsia="cs-CZ"/>
    </w:rPr>
  </w:style>
  <w:style w:type="paragraph" w:styleId="Popis">
    <w:name w:val="caption"/>
    <w:basedOn w:val="Normlny"/>
    <w:next w:val="Normlny"/>
    <w:uiPriority w:val="35"/>
    <w:unhideWhenUsed/>
    <w:qFormat/>
    <w:rsid w:val="00B51749"/>
    <w:rPr>
      <w:rFonts w:ascii="Times New Roman" w:eastAsia="Times New Roman" w:hAnsi="Times New Roman"/>
      <w:b/>
      <w:bCs/>
      <w:sz w:val="22"/>
      <w:szCs w:val="20"/>
    </w:rPr>
  </w:style>
  <w:style w:type="paragraph" w:styleId="Zkladntext3">
    <w:name w:val="Body Text 3"/>
    <w:basedOn w:val="Normlny"/>
    <w:link w:val="Zkladntext3Char"/>
    <w:uiPriority w:val="99"/>
    <w:semiHidden/>
    <w:unhideWhenUsed/>
    <w:rsid w:val="00B51749"/>
    <w:pPr>
      <w:spacing w:after="120"/>
    </w:pPr>
    <w:rPr>
      <w:rFonts w:ascii="Calibri" w:eastAsia="Times New Roman" w:hAnsi="Calibri"/>
      <w:sz w:val="16"/>
      <w:szCs w:val="16"/>
    </w:rPr>
  </w:style>
  <w:style w:type="character" w:customStyle="1" w:styleId="Zkladntext3Char">
    <w:name w:val="Základný text 3 Char"/>
    <w:basedOn w:val="Predvolenpsmoodseku"/>
    <w:link w:val="Zkladntext3"/>
    <w:uiPriority w:val="99"/>
    <w:semiHidden/>
    <w:rsid w:val="00B51749"/>
    <w:rPr>
      <w:rFonts w:ascii="Calibri" w:eastAsia="Times New Roman" w:hAnsi="Calibri" w:cs="Times New Roman"/>
      <w:sz w:val="16"/>
      <w:szCs w:val="16"/>
    </w:rPr>
  </w:style>
  <w:style w:type="paragraph" w:styleId="Hlavikaobsahu">
    <w:name w:val="TOC Heading"/>
    <w:basedOn w:val="Nadpis1"/>
    <w:next w:val="Normlny"/>
    <w:uiPriority w:val="39"/>
    <w:unhideWhenUsed/>
    <w:qFormat/>
    <w:rsid w:val="00B51749"/>
    <w:pPr>
      <w:keepNext/>
      <w:keepLines/>
      <w:numPr>
        <w:numId w:val="0"/>
      </w:numPr>
      <w:spacing w:after="0" w:line="276" w:lineRule="auto"/>
      <w:jc w:val="left"/>
      <w:outlineLvl w:val="9"/>
    </w:pPr>
    <w:rPr>
      <w:rFonts w:ascii="Cambria" w:hAnsi="Cambria"/>
      <w:color w:val="365F91"/>
      <w:kern w:val="0"/>
      <w:sz w:val="28"/>
      <w:szCs w:val="28"/>
      <w:lang w:val="en-US" w:eastAsia="ja-JP"/>
    </w:rPr>
  </w:style>
  <w:style w:type="paragraph" w:styleId="Obsah1">
    <w:name w:val="toc 1"/>
    <w:basedOn w:val="Normlny"/>
    <w:next w:val="Normlny"/>
    <w:autoRedefine/>
    <w:uiPriority w:val="39"/>
    <w:rsid w:val="00B51749"/>
    <w:pPr>
      <w:spacing w:after="100"/>
    </w:pPr>
    <w:rPr>
      <w:rFonts w:ascii="Times New Roman" w:eastAsia="Times New Roman" w:hAnsi="Times New Roman"/>
      <w:color w:val="000000"/>
      <w:lang w:eastAsia="cs-CZ"/>
    </w:rPr>
  </w:style>
  <w:style w:type="paragraph" w:styleId="Obsah2">
    <w:name w:val="toc 2"/>
    <w:basedOn w:val="Normlny"/>
    <w:next w:val="Normlny"/>
    <w:autoRedefine/>
    <w:uiPriority w:val="39"/>
    <w:rsid w:val="00B51749"/>
    <w:pPr>
      <w:spacing w:after="100"/>
      <w:ind w:left="240"/>
    </w:pPr>
    <w:rPr>
      <w:rFonts w:ascii="Times New Roman" w:eastAsia="Times New Roman" w:hAnsi="Times New Roman"/>
      <w:color w:val="000000"/>
      <w:lang w:eastAsia="cs-CZ"/>
    </w:rPr>
  </w:style>
  <w:style w:type="paragraph" w:styleId="Obsah3">
    <w:name w:val="toc 3"/>
    <w:basedOn w:val="Normlny"/>
    <w:next w:val="Normlny"/>
    <w:autoRedefine/>
    <w:uiPriority w:val="39"/>
    <w:rsid w:val="005B5DB2"/>
    <w:pPr>
      <w:tabs>
        <w:tab w:val="left" w:pos="1320"/>
        <w:tab w:val="right" w:leader="dot" w:pos="8296"/>
      </w:tabs>
      <w:spacing w:after="100"/>
      <w:ind w:left="480"/>
      <w:jc w:val="left"/>
    </w:pPr>
    <w:rPr>
      <w:rFonts w:eastAsia="Times New Roman"/>
      <w:noProof/>
      <w:color w:val="000000"/>
      <w:lang w:eastAsia="cs-CZ"/>
    </w:rPr>
  </w:style>
  <w:style w:type="character" w:customStyle="1" w:styleId="snormalnyChar">
    <w:name w:val="s_normalny Char"/>
    <w:link w:val="snormalny"/>
    <w:locked/>
    <w:rsid w:val="00B51749"/>
    <w:rPr>
      <w:rFonts w:ascii="Arial" w:eastAsia="Times New Roman" w:hAnsi="Arial" w:cs="Arial"/>
      <w:color w:val="1F497D"/>
      <w:szCs w:val="24"/>
    </w:rPr>
  </w:style>
  <w:style w:type="paragraph" w:customStyle="1" w:styleId="snormalny">
    <w:name w:val="s_normalny"/>
    <w:basedOn w:val="Normlny"/>
    <w:link w:val="snormalnyChar"/>
    <w:qFormat/>
    <w:rsid w:val="00B51749"/>
    <w:pPr>
      <w:spacing w:after="200" w:line="276" w:lineRule="auto"/>
      <w:jc w:val="left"/>
    </w:pPr>
    <w:rPr>
      <w:rFonts w:ascii="Arial" w:eastAsia="Times New Roman" w:hAnsi="Arial" w:cs="Arial"/>
      <w:color w:val="1F497D"/>
      <w:sz w:val="22"/>
    </w:rPr>
  </w:style>
  <w:style w:type="character" w:styleId="Odkaznakomentr">
    <w:name w:val="annotation reference"/>
    <w:basedOn w:val="Predvolenpsmoodseku"/>
    <w:uiPriority w:val="99"/>
    <w:semiHidden/>
    <w:unhideWhenUsed/>
    <w:rsid w:val="00AE19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8.xml"/><Relationship Id="rId21" Type="http://schemas.openxmlformats.org/officeDocument/2006/relationships/chart" Target="charts/chart11.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hyperlink" Target="http://www.stuba.s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footer" Target="footer1.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hyperlink" Target="http://www.hpc.stuba.sk" TargetMode="External"/><Relationship Id="rId10" Type="http://schemas.openxmlformats.org/officeDocument/2006/relationships/hyperlink" Target="http://www.stuba.sk/new/generate_page.php?page_id=1060" TargetMode="External"/><Relationship Id="rId19" Type="http://schemas.openxmlformats.org/officeDocument/2006/relationships/chart" Target="charts/chart9.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7.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1.png"/><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hyperlink" Target="http://www.uips.sk" TargetMode="Externa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hyperlink" Target="http://www.inqb.sk" TargetMode="External"/><Relationship Id="rId67" Type="http://schemas.openxmlformats.org/officeDocument/2006/relationships/theme" Target="theme/theme1.xml"/><Relationship Id="rId20" Type="http://schemas.openxmlformats.org/officeDocument/2006/relationships/chart" Target="charts/chart10.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hyperlink" Target="mailto:rector@st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ornak\Desktop\PROR\Vyrocna%20sprava%20STU\vyrocna%20sprava%20STU%20za%20rok%202014\STU_Tabulky%20a%20grafy_2013_201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chelkova\Documents\Marianna\Spr&#225;va%20STU\Spr&#225;va2014\FINAL\STU_Tabulky%20a%20grafy_2013_2014_FINAL.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https://d.docs.live.net/266565c8b33aad0d/Dokumenty/Dokument/vyrocna%20sprava%20STU%20za%20rok%202014/STU_Tabulky%20a%20grafy_2013_2014.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chelkova\Documents\Marianna\Spr&#225;va%20STU\Spr&#225;va2014\aktu&#225;lna\STU_Tabulky%20a%20grafy_2013_2014.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Stano\Documents\scopus_publ.xlsx"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oleObject" Target="file:///E:\VS_2014\ucitelia+vedatori_11_2014.xls" TargetMode="External"/><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oleObject" Target="file:///E:\VS_2014\napocet_2014_1.xls" TargetMode="External"/><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oleObject" Target="file:///F:\VS_2014\napocet_2014_2.xlsx" TargetMode="External"/><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oleObject" Target="file:///E:\VS_2014\napocet_2014_2.xlsx" TargetMode="External"/><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1" Type="http://schemas.openxmlformats.org/officeDocument/2006/relationships/oleObject" Target="file:///F:\VS_2014\napocet_2014_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F:\VS_2014\napocet_2014_2.xlsx" TargetMode="External"/></Relationships>
</file>

<file path=word/charts/_rels/chart44.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39.xml"/></Relationships>
</file>

<file path=word/charts/_rels/chart45.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40.xml"/></Relationships>
</file>

<file path=word/charts/_rels/chart46.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41.xml"/></Relationships>
</file>

<file path=word/charts/_rels/chart47.xml.rels><?xml version="1.0" encoding="UTF-8" standalone="yes"?>
<Relationships xmlns="http://schemas.openxmlformats.org/package/2006/relationships"><Relationship Id="rId2" Type="http://schemas.openxmlformats.org/officeDocument/2006/relationships/oleObject" Target="file:///\\vmware-host\Shared%20Folders\andrea\Desktop\STU\andrea%20hajduchova\do%20vyrocky\podklady%20a%20prve%20verzie\graf.xlsx" TargetMode="External"/><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aktu&#225;lna\STU_Tabulky%20a%20grafy_2013_2014_oprava_PK.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STU_Tabulky%20a%20grafy_2013_201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ichelkova\Documents\Marianna\Spr&#225;va%20STU\Spr&#225;va2014\STU_Tabulky%20a%20grafy_2013_201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c:spPr>
    </c:floor>
    <c:sideWall>
      <c:thickness val="0"/>
      <c:spPr>
        <a:noFill/>
      </c:spPr>
    </c:sideWall>
    <c:backWall>
      <c:thickness val="0"/>
      <c:spPr>
        <a:noFill/>
      </c:spPr>
    </c:backWall>
    <c:plotArea>
      <c:layout>
        <c:manualLayout>
          <c:layoutTarget val="inner"/>
          <c:xMode val="edge"/>
          <c:yMode val="edge"/>
          <c:x val="6.3231075321633939E-2"/>
          <c:y val="9.505649498730713E-2"/>
          <c:w val="0.91112315119400245"/>
          <c:h val="0.687916010498689"/>
        </c:manualLayout>
      </c:layout>
      <c:bar3DChart>
        <c:barDir val="col"/>
        <c:grouping val="clustered"/>
        <c:varyColors val="0"/>
        <c:ser>
          <c:idx val="9"/>
          <c:order val="0"/>
          <c:tx>
            <c:strRef>
              <c:f>Tab2_sum_ŠP!$A$22</c:f>
              <c:strCache>
                <c:ptCount val="1"/>
                <c:pt idx="0">
                  <c:v>STU</c:v>
                </c:pt>
              </c:strCache>
            </c:strRef>
          </c:tx>
          <c:spPr>
            <a:solidFill>
              <a:schemeClr val="accent1"/>
            </a:solidFill>
            <a:scene3d>
              <a:camera prst="orthographicFront"/>
              <a:lightRig rig="threePt" dir="t"/>
            </a:scene3d>
            <a:sp3d>
              <a:bevelT/>
            </a:sp3d>
          </c:spPr>
          <c:invertIfNegative val="0"/>
          <c:dPt>
            <c:idx val="0"/>
            <c:invertIfNegative val="0"/>
            <c:bubble3D val="0"/>
            <c:explosion val="14"/>
            <c:spPr>
              <a:gradFill>
                <a:gsLst>
                  <a:gs pos="0">
                    <a:schemeClr val="bg1">
                      <a:lumMod val="50000"/>
                    </a:schemeClr>
                  </a:gs>
                  <a:gs pos="53000">
                    <a:srgbClr val="D4DEFF"/>
                  </a:gs>
                  <a:gs pos="83000">
                    <a:srgbClr val="D4DEFF"/>
                  </a:gs>
                  <a:gs pos="100000">
                    <a:srgbClr val="96AB94"/>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Pt>
            <c:idx val="1"/>
            <c:invertIfNegative val="0"/>
            <c:bubble3D val="0"/>
            <c:explosion val="6"/>
            <c:spPr>
              <a:gradFill>
                <a:gsLst>
                  <a:gs pos="0">
                    <a:srgbClr val="D6B19C"/>
                  </a:gs>
                  <a:gs pos="30000">
                    <a:srgbClr val="D49E6C"/>
                  </a:gs>
                  <a:gs pos="70000">
                    <a:srgbClr val="A65528"/>
                  </a:gs>
                  <a:gs pos="100000">
                    <a:srgbClr val="663012"/>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Pt>
            <c:idx val="2"/>
            <c:invertIfNegative val="0"/>
            <c:bubble3D val="0"/>
            <c:explosion val="33"/>
            <c:spPr>
              <a:gradFill>
                <a:gsLst>
                  <a:gs pos="0">
                    <a:srgbClr val="DDEBCF"/>
                  </a:gs>
                  <a:gs pos="50000">
                    <a:srgbClr val="9CB86E"/>
                  </a:gs>
                  <a:gs pos="100000">
                    <a:srgbClr val="156B13"/>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Lbls>
            <c:dLbl>
              <c:idx val="0"/>
              <c:layout>
                <c:manualLayout>
                  <c:x val="3.1389657373909398E-2"/>
                  <c:y val="-3.7578855274669684E-2"/>
                </c:manualLayout>
              </c:layout>
              <c:tx>
                <c:rich>
                  <a:bodyPr/>
                  <a:lstStyle/>
                  <a:p>
                    <a:r>
                      <a:rPr lang="en-US" sz="1200" b="0">
                        <a:latin typeface="+mj-lt"/>
                      </a:rPr>
                      <a:t>Bc.; 44</a:t>
                    </a:r>
                    <a:endParaRPr lang="en-US" sz="1200"/>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8224047425106412E-2"/>
                  <c:y val="-4.8018456291689632E-2"/>
                </c:manualLayout>
              </c:layout>
              <c:tx>
                <c:rich>
                  <a:bodyPr/>
                  <a:lstStyle/>
                  <a:p>
                    <a:r>
                      <a:rPr lang="en-US" sz="1200" b="0">
                        <a:latin typeface="+mj-lt"/>
                      </a:rPr>
                      <a:t>Ing./Mgr.; 65</a:t>
                    </a:r>
                    <a:endParaRPr lang="en-US" sz="1200"/>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5530770570140709E-2"/>
                  <c:y val="-3.1297568067149568E-2"/>
                </c:manualLayout>
              </c:layout>
              <c:tx>
                <c:rich>
                  <a:bodyPr/>
                  <a:lstStyle/>
                  <a:p>
                    <a:r>
                      <a:rPr lang="en-US" sz="1200" b="0">
                        <a:latin typeface="+mj-lt"/>
                      </a:rPr>
                      <a:t>PhD.; 67</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0">
                    <a:latin typeface="+mj-lt"/>
                  </a:defRPr>
                </a:pPr>
                <a:endParaRPr lang="sk-SK"/>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multiLvlStrRef>
              <c:f>Tab2_sum_ŠP!$B$12:$D$13</c:f>
              <c:multiLvlStrCache>
                <c:ptCount val="3"/>
                <c:lvl>
                  <c:pt idx="0">
                    <c:v>Bc.</c:v>
                  </c:pt>
                  <c:pt idx="1">
                    <c:v>Ing./Mgr.</c:v>
                  </c:pt>
                  <c:pt idx="2">
                    <c:v>PhD.</c:v>
                  </c:pt>
                </c:lvl>
                <c:lvl>
                  <c:pt idx="0">
                    <c:v>Študijný program (denná forma)</c:v>
                  </c:pt>
                </c:lvl>
              </c:multiLvlStrCache>
            </c:multiLvlStrRef>
          </c:cat>
          <c:val>
            <c:numRef>
              <c:f>Tab2_sum_ŠP!$B$22:$D$22</c:f>
              <c:numCache>
                <c:formatCode>General</c:formatCode>
                <c:ptCount val="3"/>
                <c:pt idx="0">
                  <c:v>44</c:v>
                </c:pt>
                <c:pt idx="1">
                  <c:v>65</c:v>
                </c:pt>
                <c:pt idx="2">
                  <c:v>67</c:v>
                </c:pt>
              </c:numCache>
            </c:numRef>
          </c:val>
        </c:ser>
        <c:dLbls>
          <c:showLegendKey val="0"/>
          <c:showVal val="0"/>
          <c:showCatName val="0"/>
          <c:showSerName val="0"/>
          <c:showPercent val="0"/>
          <c:showBubbleSize val="0"/>
        </c:dLbls>
        <c:gapWidth val="100"/>
        <c:shape val="box"/>
        <c:axId val="29272320"/>
        <c:axId val="29274112"/>
        <c:axId val="0"/>
      </c:bar3DChart>
      <c:catAx>
        <c:axId val="29272320"/>
        <c:scaling>
          <c:orientation val="minMax"/>
        </c:scaling>
        <c:delete val="0"/>
        <c:axPos val="b"/>
        <c:numFmt formatCode="General" sourceLinked="0"/>
        <c:majorTickMark val="out"/>
        <c:minorTickMark val="none"/>
        <c:tickLblPos val="nextTo"/>
        <c:txPr>
          <a:bodyPr/>
          <a:lstStyle/>
          <a:p>
            <a:pPr>
              <a:defRPr sz="1200" b="0">
                <a:latin typeface="+mj-lt"/>
              </a:defRPr>
            </a:pPr>
            <a:endParaRPr lang="sk-SK"/>
          </a:p>
        </c:txPr>
        <c:crossAx val="29274112"/>
        <c:crosses val="autoZero"/>
        <c:auto val="1"/>
        <c:lblAlgn val="ctr"/>
        <c:lblOffset val="100"/>
        <c:noMultiLvlLbl val="0"/>
      </c:catAx>
      <c:valAx>
        <c:axId val="29274112"/>
        <c:scaling>
          <c:orientation val="minMax"/>
        </c:scaling>
        <c:delete val="0"/>
        <c:axPos val="l"/>
        <c:majorGridlines/>
        <c:numFmt formatCode="General" sourceLinked="1"/>
        <c:majorTickMark val="out"/>
        <c:minorTickMark val="none"/>
        <c:tickLblPos val="nextTo"/>
        <c:txPr>
          <a:bodyPr/>
          <a:lstStyle/>
          <a:p>
            <a:pPr>
              <a:defRPr sz="1200" b="0">
                <a:latin typeface="+mj-lt"/>
              </a:defRPr>
            </a:pPr>
            <a:endParaRPr lang="sk-SK"/>
          </a:p>
        </c:txPr>
        <c:crossAx val="29272320"/>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38100"/>
          </c:spPr>
          <c:marker>
            <c:symbol val="none"/>
          </c:marker>
          <c:dLbls>
            <c:dLblPos val="t"/>
            <c:showLegendKey val="0"/>
            <c:showVal val="1"/>
            <c:showCatName val="0"/>
            <c:showSerName val="0"/>
            <c:showPercent val="0"/>
            <c:showBubbleSize val="0"/>
            <c:showLeaderLines val="0"/>
          </c:dLbls>
          <c:cat>
            <c:strRef>
              <c:f>Tab_PK_Bc!$E$32:$I$32</c:f>
              <c:strCache>
                <c:ptCount val="5"/>
                <c:pt idx="0">
                  <c:v>2010/2011</c:v>
                </c:pt>
                <c:pt idx="1">
                  <c:v>2011/2012</c:v>
                </c:pt>
                <c:pt idx="2">
                  <c:v>2012/2013</c:v>
                </c:pt>
                <c:pt idx="3">
                  <c:v>2013/2014</c:v>
                </c:pt>
                <c:pt idx="4">
                  <c:v>2014/2015</c:v>
                </c:pt>
              </c:strCache>
            </c:strRef>
          </c:cat>
          <c:val>
            <c:numRef>
              <c:f>Tab_PK_Bc!$E$41:$I$41</c:f>
              <c:numCache>
                <c:formatCode>0.00</c:formatCode>
                <c:ptCount val="5"/>
                <c:pt idx="0">
                  <c:v>0.65000000000000113</c:v>
                </c:pt>
                <c:pt idx="1">
                  <c:v>0.630000000000001</c:v>
                </c:pt>
                <c:pt idx="2">
                  <c:v>0.64000000000000101</c:v>
                </c:pt>
                <c:pt idx="3">
                  <c:v>0.64000000000000101</c:v>
                </c:pt>
                <c:pt idx="4">
                  <c:v>0.6716216216216232</c:v>
                </c:pt>
              </c:numCache>
            </c:numRef>
          </c:val>
          <c:smooth val="0"/>
        </c:ser>
        <c:dLbls>
          <c:showLegendKey val="0"/>
          <c:showVal val="0"/>
          <c:showCatName val="0"/>
          <c:showSerName val="0"/>
          <c:showPercent val="0"/>
          <c:showBubbleSize val="0"/>
        </c:dLbls>
        <c:marker val="1"/>
        <c:smooth val="0"/>
        <c:axId val="76763136"/>
        <c:axId val="76764672"/>
      </c:lineChart>
      <c:catAx>
        <c:axId val="76763136"/>
        <c:scaling>
          <c:orientation val="minMax"/>
        </c:scaling>
        <c:delete val="0"/>
        <c:axPos val="b"/>
        <c:majorTickMark val="out"/>
        <c:minorTickMark val="none"/>
        <c:tickLblPos val="nextTo"/>
        <c:crossAx val="76764672"/>
        <c:crosses val="autoZero"/>
        <c:auto val="1"/>
        <c:lblAlgn val="ctr"/>
        <c:lblOffset val="100"/>
        <c:noMultiLvlLbl val="0"/>
      </c:catAx>
      <c:valAx>
        <c:axId val="76764672"/>
        <c:scaling>
          <c:orientation val="minMax"/>
        </c:scaling>
        <c:delete val="0"/>
        <c:axPos val="l"/>
        <c:majorGridlines/>
        <c:numFmt formatCode="0.00" sourceLinked="1"/>
        <c:majorTickMark val="out"/>
        <c:minorTickMark val="none"/>
        <c:tickLblPos val="nextTo"/>
        <c:crossAx val="76763136"/>
        <c:crosses val="autoZero"/>
        <c:crossBetween val="between"/>
      </c:valAx>
    </c:plotArea>
    <c:plotVisOnly val="1"/>
    <c:dispBlanksAs val="gap"/>
    <c:showDLblsOverMax val="0"/>
  </c:chart>
  <c:spPr>
    <a:ln>
      <a:noFill/>
    </a:ln>
  </c:spPr>
  <c:txPr>
    <a:bodyPr/>
    <a:lstStyle/>
    <a:p>
      <a:pPr>
        <a:defRPr>
          <a:latin typeface="+mj-lt"/>
        </a:defRPr>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0"/>
              <c:layout>
                <c:manualLayout>
                  <c:x val="-6.3397116437993714E-2"/>
                  <c:y val="5.9226377810139799E-2"/>
                </c:manualLayout>
              </c:layout>
              <c:dLblPos val="r"/>
              <c:showLegendKey val="0"/>
              <c:showVal val="1"/>
              <c:showCatName val="0"/>
              <c:showSerName val="0"/>
              <c:showPercent val="0"/>
              <c:showBubbleSize val="0"/>
            </c:dLbl>
            <c:dLbl>
              <c:idx val="2"/>
              <c:layout>
                <c:manualLayout>
                  <c:x val="-3.4902776193583736E-2"/>
                  <c:y val="5.9233937041111732E-2"/>
                </c:manualLayout>
              </c:layout>
              <c:dLblPos val="r"/>
              <c:showLegendKey val="0"/>
              <c:showVal val="1"/>
              <c:showCatName val="0"/>
              <c:showSerName val="0"/>
              <c:showPercent val="0"/>
              <c:showBubbleSize val="0"/>
            </c:dLbl>
            <c:dLbl>
              <c:idx val="3"/>
              <c:layout>
                <c:manualLayout>
                  <c:x val="-5.6273193650845883E-2"/>
                  <c:y val="6.3447029492052873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Tab_PK_Ing!$L$34:$L$38</c:f>
              <c:strCache>
                <c:ptCount val="5"/>
                <c:pt idx="0">
                  <c:v>2010/2011</c:v>
                </c:pt>
                <c:pt idx="1">
                  <c:v>2011/2012</c:v>
                </c:pt>
                <c:pt idx="2">
                  <c:v>2012/2013</c:v>
                </c:pt>
                <c:pt idx="3">
                  <c:v>2013/2014</c:v>
                </c:pt>
                <c:pt idx="4">
                  <c:v>2014/2015</c:v>
                </c:pt>
              </c:strCache>
            </c:strRef>
          </c:cat>
          <c:val>
            <c:numRef>
              <c:f>Tab_PK_Ing!$M$34:$M$38</c:f>
              <c:numCache>
                <c:formatCode>0.00</c:formatCode>
                <c:ptCount val="5"/>
                <c:pt idx="0" formatCode="General">
                  <c:v>0.92</c:v>
                </c:pt>
                <c:pt idx="1">
                  <c:v>0.9</c:v>
                </c:pt>
                <c:pt idx="2" formatCode="General">
                  <c:v>0.92</c:v>
                </c:pt>
                <c:pt idx="3" formatCode="General">
                  <c:v>0.92</c:v>
                </c:pt>
                <c:pt idx="4">
                  <c:v>0.9</c:v>
                </c:pt>
              </c:numCache>
            </c:numRef>
          </c:val>
          <c:smooth val="0"/>
        </c:ser>
        <c:dLbls>
          <c:dLblPos val="b"/>
          <c:showLegendKey val="0"/>
          <c:showVal val="1"/>
          <c:showCatName val="0"/>
          <c:showSerName val="0"/>
          <c:showPercent val="0"/>
          <c:showBubbleSize val="0"/>
        </c:dLbls>
        <c:marker val="1"/>
        <c:smooth val="0"/>
        <c:axId val="76775808"/>
        <c:axId val="76790400"/>
      </c:lineChart>
      <c:catAx>
        <c:axId val="76775808"/>
        <c:scaling>
          <c:orientation val="minMax"/>
        </c:scaling>
        <c:delete val="0"/>
        <c:axPos val="b"/>
        <c:majorTickMark val="out"/>
        <c:minorTickMark val="none"/>
        <c:tickLblPos val="nextTo"/>
        <c:crossAx val="76790400"/>
        <c:crosses val="autoZero"/>
        <c:auto val="1"/>
        <c:lblAlgn val="ctr"/>
        <c:lblOffset val="100"/>
        <c:noMultiLvlLbl val="0"/>
      </c:catAx>
      <c:valAx>
        <c:axId val="76790400"/>
        <c:scaling>
          <c:orientation val="minMax"/>
          <c:min val="0.89500000000000002"/>
        </c:scaling>
        <c:delete val="0"/>
        <c:axPos val="l"/>
        <c:majorGridlines/>
        <c:numFmt formatCode="General" sourceLinked="1"/>
        <c:majorTickMark val="out"/>
        <c:minorTickMark val="none"/>
        <c:tickLblPos val="nextTo"/>
        <c:crossAx val="76775808"/>
        <c:crosses val="autoZero"/>
        <c:crossBetween val="between"/>
      </c:valAx>
    </c:plotArea>
    <c:plotVisOnly val="1"/>
    <c:dispBlanksAs val="gap"/>
    <c:showDLblsOverMax val="0"/>
  </c:chart>
  <c:spPr>
    <a:ln>
      <a:noFill/>
    </a:ln>
  </c:spPr>
  <c:txPr>
    <a:bodyPr/>
    <a:lstStyle/>
    <a:p>
      <a:pPr>
        <a:defRPr sz="1200">
          <a:latin typeface="+mj-lt"/>
        </a:defRPr>
      </a:pPr>
      <a:endParaRPr lang="sk-S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3.1174017358259722E-2"/>
          <c:y val="0.11723446439698645"/>
          <c:w val="0.8449621537172084"/>
          <c:h val="0.73225773607431044"/>
        </c:manualLayout>
      </c:layout>
      <c:pie3DChart>
        <c:varyColors val="1"/>
        <c:ser>
          <c:idx val="0"/>
          <c:order val="0"/>
          <c:spPr>
            <a:effectLst>
              <a:outerShdw blurRad="50800" dist="38100" dir="5400000" algn="t" rotWithShape="0">
                <a:prstClr val="black">
                  <a:alpha val="40000"/>
                </a:prstClr>
              </a:outerShdw>
            </a:effectLst>
          </c:spPr>
          <c:explosion val="9"/>
          <c:dLbls>
            <c:dLbl>
              <c:idx val="0"/>
              <c:layout>
                <c:manualLayout>
                  <c:x val="-0.14849483215026449"/>
                  <c:y val="6.8142136079143961E-2"/>
                </c:manualLayout>
              </c:layout>
              <c:tx>
                <c:rich>
                  <a:bodyPr/>
                  <a:lstStyle/>
                  <a:p>
                    <a:r>
                      <a:rPr lang="en-US" sz="1200">
                        <a:latin typeface="+mj-lt"/>
                      </a:rPr>
                      <a:t>I. stupeň;</a:t>
                    </a:r>
                    <a:endParaRPr lang="sk-SK" sz="1200">
                      <a:latin typeface="+mj-lt"/>
                    </a:endParaRPr>
                  </a:p>
                  <a:p>
                    <a:r>
                      <a:rPr lang="en-US" sz="1200">
                        <a:latin typeface="+mj-lt"/>
                      </a:rPr>
                      <a:t>79; </a:t>
                    </a:r>
                    <a:r>
                      <a:rPr lang="sk-SK" sz="1200">
                        <a:latin typeface="+mj-lt"/>
                      </a:rPr>
                      <a:t>6</a:t>
                    </a:r>
                    <a:r>
                      <a:rPr lang="en-US" sz="1200">
                        <a:latin typeface="+mj-lt"/>
                      </a:rPr>
                      <a:t> %</a:t>
                    </a:r>
                    <a:endParaRPr lang="en-US"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25559014267185476"/>
                      <c:h val="0.1427308882015024"/>
                    </c:manualLayout>
                  </c15:layout>
                </c:ext>
              </c:extLst>
            </c:dLbl>
            <c:dLbl>
              <c:idx val="1"/>
              <c:layout>
                <c:manualLayout>
                  <c:x val="4.8150330901888902E-2"/>
                  <c:y val="-0.13827602484941184"/>
                </c:manualLayout>
              </c:layout>
              <c:tx>
                <c:rich>
                  <a:bodyPr/>
                  <a:lstStyle/>
                  <a:p>
                    <a:r>
                      <a:rPr lang="en-US" sz="1200">
                        <a:latin typeface="+mj-lt"/>
                      </a:rPr>
                      <a:t>II. stpeň;</a:t>
                    </a:r>
                    <a:endParaRPr lang="sk-SK" sz="1200">
                      <a:latin typeface="+mj-lt"/>
                    </a:endParaRPr>
                  </a:p>
                  <a:p>
                    <a:r>
                      <a:rPr lang="en-US" sz="1200" baseline="0">
                        <a:latin typeface="+mj-lt"/>
                      </a:rPr>
                      <a:t> 3</a:t>
                    </a:r>
                    <a:r>
                      <a:rPr lang="en-US" sz="1200">
                        <a:latin typeface="+mj-lt"/>
                      </a:rPr>
                      <a:t>;</a:t>
                    </a:r>
                    <a:r>
                      <a:rPr lang="sk-SK" sz="1200">
                        <a:latin typeface="+mj-lt"/>
                      </a:rPr>
                      <a:t> </a:t>
                    </a:r>
                    <a:r>
                      <a:rPr lang="en-US" sz="1200">
                        <a:latin typeface="+mj-lt"/>
                      </a:rPr>
                      <a:t> 1 %</a:t>
                    </a:r>
                    <a:endParaRPr lang="en-US"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21261987193235088"/>
                      <c:h val="0.1427308882015024"/>
                    </c:manualLayout>
                  </c15:layout>
                </c:ext>
              </c:extLst>
            </c:dLbl>
            <c:dLbl>
              <c:idx val="2"/>
              <c:layout>
                <c:manualLayout>
                  <c:x val="2.7949481774900836E-2"/>
                  <c:y val="-4.8516777129477533E-3"/>
                </c:manualLayout>
              </c:layout>
              <c:tx>
                <c:rich>
                  <a:bodyPr/>
                  <a:lstStyle/>
                  <a:p>
                    <a:r>
                      <a:rPr lang="en-US" sz="1200">
                        <a:latin typeface="+mj-lt"/>
                      </a:rPr>
                      <a:t>III. stupeň; 11; </a:t>
                    </a:r>
                    <a:r>
                      <a:rPr lang="sk-SK" sz="1200">
                        <a:latin typeface="+mj-lt"/>
                      </a:rPr>
                      <a:t>10</a:t>
                    </a:r>
                    <a:r>
                      <a:rPr lang="en-US" sz="1200">
                        <a:latin typeface="+mj-lt"/>
                      </a:rPr>
                      <a:t> %</a:t>
                    </a:r>
                    <a:endParaRPr lang="en-US"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29181592573301879"/>
                      <c:h val="0.1427308882015024"/>
                    </c:manualLayout>
                  </c15:layout>
                </c:ext>
              </c:extLst>
            </c:dLbl>
            <c:spPr>
              <a:noFill/>
              <a:ln>
                <a:noFill/>
              </a:ln>
              <a:effectLst>
                <a:outerShdw blurRad="50800" dist="38100" dir="5400000" algn="t" rotWithShape="0">
                  <a:prstClr val="black">
                    <a:alpha val="40000"/>
                  </a:prstClr>
                </a:outerShdw>
              </a:effectLst>
            </c:spPr>
            <c:txPr>
              <a:bodyPr/>
              <a:lstStyle/>
              <a:p>
                <a:pPr>
                  <a:defRPr sz="1200">
                    <a:latin typeface="+mj-lt"/>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extLst>
          </c:dLbls>
          <c:val>
            <c:numRef>
              <c:f>'[STU_Tabulky a grafy_2013_2014.xlsx]Tab22_preskúm'!$F$20:$F$22</c:f>
              <c:numCache>
                <c:formatCode>General</c:formatCode>
                <c:ptCount val="3"/>
                <c:pt idx="0">
                  <c:v>79</c:v>
                </c:pt>
                <c:pt idx="1">
                  <c:v>3</c:v>
                </c:pt>
                <c:pt idx="2">
                  <c:v>11</c:v>
                </c:pt>
              </c:numCache>
            </c:numRef>
          </c:val>
        </c:ser>
        <c:dLbls>
          <c:showLegendKey val="0"/>
          <c:showVal val="1"/>
          <c:showCatName val="0"/>
          <c:showSerName val="0"/>
          <c:showPercent val="0"/>
          <c:showBubbleSize val="0"/>
          <c:showLeaderLines val="0"/>
        </c:dLbls>
      </c:pie3DChart>
    </c:plotArea>
    <c:plotVisOnly val="1"/>
    <c:dispBlanksAs val="zero"/>
    <c:showDLblsOverMax val="0"/>
  </c:chart>
  <c:spPr>
    <a:ln>
      <a:solidFill>
        <a:schemeClr val="bg1"/>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8354926150201921E-2"/>
          <c:y val="0.13286661535729091"/>
          <c:w val="0.79261911678515962"/>
          <c:h val="0.85346005478991049"/>
        </c:manualLayout>
      </c:layout>
      <c:pie3DChart>
        <c:varyColors val="1"/>
        <c:ser>
          <c:idx val="0"/>
          <c:order val="0"/>
          <c:spPr>
            <a:effectLst>
              <a:outerShdw blurRad="76200" dir="18900000" sy="23000" kx="-1200000" algn="bl" rotWithShape="0">
                <a:prstClr val="black">
                  <a:alpha val="20000"/>
                </a:prstClr>
              </a:outerShdw>
            </a:effectLst>
          </c:spPr>
          <c:explosion val="15"/>
          <c:dPt>
            <c:idx val="0"/>
            <c:bubble3D val="0"/>
            <c:spPr>
              <a:gradFill>
                <a:gsLst>
                  <a:gs pos="0">
                    <a:srgbClr val="FFFFFF"/>
                  </a:gs>
                  <a:gs pos="7001">
                    <a:srgbClr val="E6E6E6"/>
                  </a:gs>
                  <a:gs pos="32001">
                    <a:srgbClr val="7D8496"/>
                  </a:gs>
                  <a:gs pos="47000">
                    <a:srgbClr val="E6E6E6"/>
                  </a:gs>
                  <a:gs pos="85001">
                    <a:srgbClr val="7D8496"/>
                  </a:gs>
                  <a:gs pos="100000">
                    <a:srgbClr val="E6E6E6"/>
                  </a:gs>
                </a:gsLst>
                <a:lin ang="5400000" scaled="0"/>
              </a:gradFill>
              <a:effectLst>
                <a:outerShdw blurRad="76200" dir="18900000" sy="23000" kx="-1200000" algn="bl" rotWithShape="0">
                  <a:prstClr val="black">
                    <a:alpha val="20000"/>
                  </a:prstClr>
                </a:outerShdw>
              </a:effectLst>
            </c:spPr>
          </c:dPt>
          <c:dPt>
            <c:idx val="1"/>
            <c:bubble3D val="0"/>
            <c:explosion val="6"/>
            <c:spPr>
              <a:gradFill>
                <a:gsLst>
                  <a:gs pos="0">
                    <a:srgbClr val="FFFFFF"/>
                  </a:gs>
                  <a:gs pos="7001">
                    <a:srgbClr val="E6E6E6"/>
                  </a:gs>
                  <a:gs pos="32001">
                    <a:srgbClr val="7D8496"/>
                  </a:gs>
                  <a:gs pos="47000">
                    <a:srgbClr val="E6E6E6"/>
                  </a:gs>
                  <a:gs pos="85001">
                    <a:srgbClr val="7D8496"/>
                  </a:gs>
                  <a:gs pos="100000">
                    <a:srgbClr val="E6E6E6"/>
                  </a:gs>
                </a:gsLst>
                <a:lin ang="5400000" scaled="0"/>
              </a:gradFill>
              <a:effectLst>
                <a:outerShdw blurRad="76200" dir="18900000" sy="23000" kx="-1200000" algn="bl" rotWithShape="0">
                  <a:prstClr val="black">
                    <a:alpha val="20000"/>
                  </a:prstClr>
                </a:outerShdw>
              </a:effectLst>
            </c:spPr>
          </c:dPt>
          <c:dPt>
            <c:idx val="2"/>
            <c:bubble3D val="0"/>
            <c:spPr>
              <a:noFill/>
              <a:effectLst>
                <a:outerShdw blurRad="76200" dir="18900000" sy="23000" kx="-1200000" algn="bl" rotWithShape="0">
                  <a:prstClr val="black">
                    <a:alpha val="20000"/>
                  </a:prstClr>
                </a:outerShdw>
              </a:effectLst>
            </c:spPr>
          </c:dPt>
          <c:dPt>
            <c:idx val="3"/>
            <c:bubble3D val="0"/>
            <c:spPr>
              <a:gradFill>
                <a:gsLst>
                  <a:gs pos="0">
                    <a:srgbClr val="D6B19C"/>
                  </a:gs>
                  <a:gs pos="30000">
                    <a:srgbClr val="D49E6C"/>
                  </a:gs>
                  <a:gs pos="70000">
                    <a:srgbClr val="A65528"/>
                  </a:gs>
                </a:gsLst>
                <a:lin ang="5400000" scaled="0"/>
              </a:gradFill>
              <a:effectLst>
                <a:outerShdw blurRad="76200" dir="18900000" sy="23000" kx="-1200000" algn="bl" rotWithShape="0">
                  <a:prstClr val="black">
                    <a:alpha val="20000"/>
                  </a:prstClr>
                </a:outerShdw>
              </a:effectLst>
            </c:spPr>
          </c:dPt>
          <c:dPt>
            <c:idx val="4"/>
            <c:bubble3D val="0"/>
            <c:spPr>
              <a:noFill/>
              <a:effectLst>
                <a:outerShdw blurRad="76200" dir="18900000" sy="23000" kx="-1200000" algn="bl" rotWithShape="0">
                  <a:prstClr val="black">
                    <a:alpha val="20000"/>
                  </a:prstClr>
                </a:outerShdw>
              </a:effectLst>
            </c:spPr>
          </c:dPt>
          <c:dPt>
            <c:idx val="5"/>
            <c:bubble3D val="0"/>
            <c:spPr>
              <a:gradFill>
                <a:gsLst>
                  <a:gs pos="0">
                    <a:srgbClr val="DDEBCF"/>
                  </a:gs>
                  <a:gs pos="50000">
                    <a:srgbClr val="9CB86E"/>
                  </a:gs>
                  <a:gs pos="100000">
                    <a:srgbClr val="156B13"/>
                  </a:gs>
                </a:gsLst>
                <a:lin ang="5400000" scaled="0"/>
              </a:gradFill>
              <a:effectLst>
                <a:outerShdw blurRad="76200" dir="18900000" sy="23000" kx="-1200000" algn="bl" rotWithShape="0">
                  <a:prstClr val="black">
                    <a:alpha val="20000"/>
                  </a:prstClr>
                </a:outerShdw>
              </a:effectLst>
            </c:spPr>
          </c:dPt>
          <c:dLbls>
            <c:dLbl>
              <c:idx val="0"/>
              <c:delete val="1"/>
            </c:dLbl>
            <c:dLbl>
              <c:idx val="1"/>
              <c:layout>
                <c:manualLayout>
                  <c:x val="-2.4030660940109791E-2"/>
                  <c:y val="0.43594197671855939"/>
                </c:manualLayout>
              </c:layout>
              <c:tx>
                <c:rich>
                  <a:bodyPr/>
                  <a:lstStyle/>
                  <a:p>
                    <a:r>
                      <a:rPr lang="sk-SK" sz="1000">
                        <a:latin typeface="+mj-lt"/>
                      </a:rPr>
                      <a:t>I. stupeň</a:t>
                    </a:r>
                    <a:r>
                      <a:rPr lang="en-US" sz="1000">
                        <a:latin typeface="+mj-lt"/>
                      </a:rPr>
                      <a:t>; </a:t>
                    </a:r>
                    <a:r>
                      <a:rPr lang="sk-SK" sz="1000">
                        <a:latin typeface="+mj-lt"/>
                      </a:rPr>
                      <a:t>1</a:t>
                    </a:r>
                    <a:r>
                      <a:rPr lang="sk-SK" sz="1000" baseline="0">
                        <a:latin typeface="+mj-lt"/>
                      </a:rPr>
                      <a:t> 939</a:t>
                    </a:r>
                    <a:endParaRPr lang="en-US"/>
                  </a:p>
                </c:rich>
              </c:tx>
              <c:dLblPos val="bestFit"/>
              <c:showLegendKey val="0"/>
              <c:showVal val="1"/>
              <c:showCatName val="1"/>
              <c:showSerName val="0"/>
              <c:showPercent val="0"/>
              <c:showBubbleSize val="0"/>
            </c:dLbl>
            <c:dLbl>
              <c:idx val="2"/>
              <c:delete val="1"/>
            </c:dLbl>
            <c:dLbl>
              <c:idx val="3"/>
              <c:layout>
                <c:manualLayout>
                  <c:x val="1.8593414459556191E-2"/>
                  <c:y val="-0.42901644927971844"/>
                </c:manualLayout>
              </c:layout>
              <c:tx>
                <c:rich>
                  <a:bodyPr/>
                  <a:lstStyle/>
                  <a:p>
                    <a:r>
                      <a:rPr lang="sk-SK" sz="1000">
                        <a:latin typeface="+mj-lt"/>
                      </a:rPr>
                      <a:t>II. stupeň</a:t>
                    </a:r>
                    <a:r>
                      <a:rPr lang="en-US" sz="1000">
                        <a:latin typeface="+mj-lt"/>
                      </a:rPr>
                      <a:t>; 2 </a:t>
                    </a:r>
                    <a:r>
                      <a:rPr lang="sk-SK" sz="1000">
                        <a:latin typeface="+mj-lt"/>
                      </a:rPr>
                      <a:t>037</a:t>
                    </a:r>
                    <a:endParaRPr lang="en-US"/>
                  </a:p>
                </c:rich>
              </c:tx>
              <c:dLblPos val="bestFit"/>
              <c:showLegendKey val="0"/>
              <c:showVal val="1"/>
              <c:showCatName val="1"/>
              <c:showSerName val="0"/>
              <c:showPercent val="0"/>
              <c:showBubbleSize val="0"/>
            </c:dLbl>
            <c:dLbl>
              <c:idx val="4"/>
              <c:delete val="1"/>
            </c:dLbl>
            <c:dLbl>
              <c:idx val="5"/>
              <c:layout>
                <c:manualLayout>
                  <c:x val="1.8561224073035103E-2"/>
                  <c:y val="-4.1574079555844995E-2"/>
                </c:manualLayout>
              </c:layout>
              <c:tx>
                <c:rich>
                  <a:bodyPr/>
                  <a:lstStyle/>
                  <a:p>
                    <a:r>
                      <a:rPr lang="sk-SK" sz="1000">
                        <a:latin typeface="+mj-lt"/>
                      </a:rPr>
                      <a:t>III. stupeň</a:t>
                    </a:r>
                    <a:r>
                      <a:rPr lang="en-US" sz="1000">
                        <a:latin typeface="+mj-lt"/>
                      </a:rPr>
                      <a:t>; </a:t>
                    </a:r>
                    <a:r>
                      <a:rPr lang="sk-SK" sz="1000">
                        <a:latin typeface="+mj-lt"/>
                      </a:rPr>
                      <a:t>265</a:t>
                    </a:r>
                    <a:endParaRPr lang="en-US"/>
                  </a:p>
                </c:rich>
              </c:tx>
              <c:dLblPos val="bestFit"/>
              <c:showLegendKey val="0"/>
              <c:showVal val="1"/>
              <c:showCatName val="1"/>
              <c:showSerName val="0"/>
              <c:showPercent val="0"/>
              <c:showBubbleSize val="0"/>
            </c:dLbl>
            <c:spPr>
              <a:effectLst>
                <a:outerShdw blurRad="50800" dist="38100" dir="5400000" algn="t" rotWithShape="0">
                  <a:prstClr val="black">
                    <a:alpha val="40000"/>
                  </a:prstClr>
                </a:outerShdw>
              </a:effectLst>
            </c:spPr>
            <c:txPr>
              <a:bodyPr/>
              <a:lstStyle/>
              <a:p>
                <a:pPr>
                  <a:defRPr sz="1000">
                    <a:latin typeface="+mj-lt"/>
                  </a:defRPr>
                </a:pPr>
                <a:endParaRPr lang="sk-SK"/>
              </a:p>
            </c:txPr>
            <c:dLblPos val="bestFit"/>
            <c:showLegendKey val="0"/>
            <c:showVal val="1"/>
            <c:showCatName val="1"/>
            <c:showSerName val="0"/>
            <c:showPercent val="0"/>
            <c:showBubbleSize val="0"/>
            <c:showLeaderLines val="0"/>
          </c:dLbls>
          <c:cat>
            <c:strRef>
              <c:f>Tab26_absol!$A$19:$A$24</c:f>
              <c:strCache>
                <c:ptCount val="5"/>
                <c:pt idx="0">
                  <c:v>Bc.</c:v>
                </c:pt>
                <c:pt idx="2">
                  <c:v>Ing.</c:v>
                </c:pt>
                <c:pt idx="4">
                  <c:v>PhD.</c:v>
                </c:pt>
              </c:strCache>
            </c:strRef>
          </c:cat>
          <c:val>
            <c:numRef>
              <c:f>Tab26_absol!$L$19:$L$24</c:f>
              <c:numCache>
                <c:formatCode>#,##0</c:formatCode>
                <c:ptCount val="6"/>
                <c:pt idx="1">
                  <c:v>1939</c:v>
                </c:pt>
                <c:pt idx="3">
                  <c:v>2037</c:v>
                </c:pt>
                <c:pt idx="5" formatCode="General">
                  <c:v>265</c:v>
                </c:pt>
              </c:numCache>
            </c:numRef>
          </c:val>
        </c:ser>
        <c:dLbls>
          <c:showLegendKey val="0"/>
          <c:showVal val="1"/>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Tab26_absol!$A$37</c:f>
              <c:strCache>
                <c:ptCount val="1"/>
                <c:pt idx="0">
                  <c:v>I. stupeň</c:v>
                </c:pt>
              </c:strCache>
            </c:strRef>
          </c:tx>
          <c:spPr>
            <a:ln w="38100"/>
          </c:spPr>
          <c:marker>
            <c:symbol val="none"/>
          </c:marker>
          <c:dLbls>
            <c:dLbl>
              <c:idx val="0"/>
              <c:layout>
                <c:manualLayout>
                  <c:x val="-5.1525292293008826E-2"/>
                  <c:y val="-2.2360216336594279E-2"/>
                </c:manualLayout>
              </c:layout>
              <c:dLblPos val="r"/>
              <c:showLegendKey val="0"/>
              <c:showVal val="1"/>
              <c:showCatName val="0"/>
              <c:showSerName val="0"/>
              <c:showPercent val="0"/>
              <c:showBubbleSize val="0"/>
            </c:dLbl>
            <c:dLbl>
              <c:idx val="1"/>
              <c:layout>
                <c:manualLayout>
                  <c:x val="-5.4555555555555545E-2"/>
                  <c:y val="5.5080927384076994E-2"/>
                </c:manualLayout>
              </c:layout>
              <c:dLblPos val="r"/>
              <c:showLegendKey val="0"/>
              <c:showVal val="1"/>
              <c:showCatName val="0"/>
              <c:showSerName val="0"/>
              <c:showPercent val="0"/>
              <c:showBubbleSize val="0"/>
            </c:dLbl>
            <c:dLbl>
              <c:idx val="2"/>
              <c:layout>
                <c:manualLayout>
                  <c:x val="-5.4555555555555545E-2"/>
                  <c:y val="5.9710557013706804E-2"/>
                </c:manualLayout>
              </c:layout>
              <c:dLblPos val="r"/>
              <c:showLegendKey val="0"/>
              <c:showVal val="1"/>
              <c:showCatName val="0"/>
              <c:showSerName val="0"/>
              <c:showPercent val="0"/>
              <c:showBubbleSize val="0"/>
            </c:dLbl>
            <c:dLbl>
              <c:idx val="3"/>
              <c:layout>
                <c:manualLayout>
                  <c:x val="-5.4555555555555545E-2"/>
                  <c:y val="4.1192038495188099E-2"/>
                </c:manualLayout>
              </c:layout>
              <c:dLblPos val="r"/>
              <c:showLegendKey val="0"/>
              <c:showVal val="1"/>
              <c:showCatName val="0"/>
              <c:showSerName val="0"/>
              <c:showPercent val="0"/>
              <c:showBubbleSize val="0"/>
            </c:dLbl>
            <c:dLbl>
              <c:idx val="4"/>
              <c:layout>
                <c:manualLayout>
                  <c:x val="-5.1777777777777777E-2"/>
                  <c:y val="5.045129775444751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Tab26_absol!$A$38:$E$38</c:f>
              <c:numCache>
                <c:formatCode>0</c:formatCode>
                <c:ptCount val="5"/>
                <c:pt idx="0">
                  <c:v>2010</c:v>
                </c:pt>
                <c:pt idx="1">
                  <c:v>2011</c:v>
                </c:pt>
                <c:pt idx="2">
                  <c:v>2012</c:v>
                </c:pt>
                <c:pt idx="3">
                  <c:v>2013</c:v>
                </c:pt>
                <c:pt idx="4">
                  <c:v>2014</c:v>
                </c:pt>
              </c:numCache>
            </c:numRef>
          </c:cat>
          <c:val>
            <c:numRef>
              <c:f>Tab26_absol!$A$39:$E$39</c:f>
              <c:numCache>
                <c:formatCode>0</c:formatCode>
                <c:ptCount val="5"/>
                <c:pt idx="0">
                  <c:v>2797</c:v>
                </c:pt>
                <c:pt idx="1">
                  <c:v>2179</c:v>
                </c:pt>
                <c:pt idx="2">
                  <c:v>2170</c:v>
                </c:pt>
                <c:pt idx="3">
                  <c:v>2037</c:v>
                </c:pt>
                <c:pt idx="4">
                  <c:v>1936</c:v>
                </c:pt>
              </c:numCache>
            </c:numRef>
          </c:val>
          <c:smooth val="0"/>
        </c:ser>
        <c:ser>
          <c:idx val="1"/>
          <c:order val="1"/>
          <c:tx>
            <c:strRef>
              <c:f>Tab26_absol!$F$37</c:f>
              <c:strCache>
                <c:ptCount val="1"/>
                <c:pt idx="0">
                  <c:v>II. stupeň</c:v>
                </c:pt>
              </c:strCache>
            </c:strRef>
          </c:tx>
          <c:spPr>
            <a:ln w="38100"/>
          </c:spPr>
          <c:marker>
            <c:symbol val="none"/>
          </c:marker>
          <c:dLbls>
            <c:dLbl>
              <c:idx val="0"/>
              <c:layout>
                <c:manualLayout>
                  <c:x val="-5.1777777777777777E-2"/>
                  <c:y val="5.5080927384076994E-2"/>
                </c:manualLayout>
              </c:layout>
              <c:dLblPos val="r"/>
              <c:showLegendKey val="0"/>
              <c:showVal val="1"/>
              <c:showCatName val="0"/>
              <c:showSerName val="0"/>
              <c:showPercent val="0"/>
              <c:showBubbleSize val="0"/>
            </c:dLbl>
            <c:dLbl>
              <c:idx val="1"/>
              <c:layout>
                <c:manualLayout>
                  <c:x val="-5.1777777777777777E-2"/>
                  <c:y val="-8.8437591134441565E-2"/>
                </c:manualLayout>
              </c:layout>
              <c:dLblPos val="r"/>
              <c:showLegendKey val="0"/>
              <c:showVal val="1"/>
              <c:showCatName val="0"/>
              <c:showSerName val="0"/>
              <c:showPercent val="0"/>
              <c:showBubbleSize val="0"/>
            </c:dLbl>
            <c:dLbl>
              <c:idx val="3"/>
              <c:layout>
                <c:manualLayout>
                  <c:x val="-5.1777777777777777E-2"/>
                  <c:y val="-9.306722076407138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Tab26_absol!$A$38:$E$38</c:f>
              <c:numCache>
                <c:formatCode>0</c:formatCode>
                <c:ptCount val="5"/>
                <c:pt idx="0">
                  <c:v>2010</c:v>
                </c:pt>
                <c:pt idx="1">
                  <c:v>2011</c:v>
                </c:pt>
                <c:pt idx="2">
                  <c:v>2012</c:v>
                </c:pt>
                <c:pt idx="3">
                  <c:v>2013</c:v>
                </c:pt>
                <c:pt idx="4">
                  <c:v>2014</c:v>
                </c:pt>
              </c:numCache>
            </c:numRef>
          </c:cat>
          <c:val>
            <c:numRef>
              <c:f>Tab26_absol!$F$39:$J$39</c:f>
              <c:numCache>
                <c:formatCode>0</c:formatCode>
                <c:ptCount val="5"/>
                <c:pt idx="0">
                  <c:v>2415</c:v>
                </c:pt>
                <c:pt idx="1">
                  <c:v>2283</c:v>
                </c:pt>
                <c:pt idx="2">
                  <c:v>2510</c:v>
                </c:pt>
                <c:pt idx="3">
                  <c:v>2102</c:v>
                </c:pt>
                <c:pt idx="4">
                  <c:v>2029</c:v>
                </c:pt>
              </c:numCache>
            </c:numRef>
          </c:val>
          <c:smooth val="0"/>
        </c:ser>
        <c:ser>
          <c:idx val="2"/>
          <c:order val="2"/>
          <c:tx>
            <c:strRef>
              <c:f>Tab26_absol!$K$37</c:f>
              <c:strCache>
                <c:ptCount val="1"/>
                <c:pt idx="0">
                  <c:v>III. stupeň</c:v>
                </c:pt>
              </c:strCache>
            </c:strRef>
          </c:tx>
          <c:spPr>
            <a:ln w="38100"/>
          </c:spPr>
          <c:marker>
            <c:symbol val="none"/>
          </c:marker>
          <c:dLbls>
            <c:dLblPos val="t"/>
            <c:showLegendKey val="0"/>
            <c:showVal val="1"/>
            <c:showCatName val="0"/>
            <c:showSerName val="0"/>
            <c:showPercent val="0"/>
            <c:showBubbleSize val="0"/>
            <c:showLeaderLines val="0"/>
          </c:dLbls>
          <c:cat>
            <c:numRef>
              <c:f>Tab26_absol!$A$38:$E$38</c:f>
              <c:numCache>
                <c:formatCode>0</c:formatCode>
                <c:ptCount val="5"/>
                <c:pt idx="0">
                  <c:v>2010</c:v>
                </c:pt>
                <c:pt idx="1">
                  <c:v>2011</c:v>
                </c:pt>
                <c:pt idx="2">
                  <c:v>2012</c:v>
                </c:pt>
                <c:pt idx="3">
                  <c:v>2013</c:v>
                </c:pt>
                <c:pt idx="4">
                  <c:v>2014</c:v>
                </c:pt>
              </c:numCache>
            </c:numRef>
          </c:cat>
          <c:val>
            <c:numRef>
              <c:f>Tab26_absol!$K$39:$O$39</c:f>
              <c:numCache>
                <c:formatCode>0</c:formatCode>
                <c:ptCount val="5"/>
                <c:pt idx="0">
                  <c:v>318</c:v>
                </c:pt>
                <c:pt idx="1">
                  <c:v>212</c:v>
                </c:pt>
                <c:pt idx="2">
                  <c:v>247</c:v>
                </c:pt>
                <c:pt idx="3">
                  <c:v>298</c:v>
                </c:pt>
                <c:pt idx="4">
                  <c:v>258</c:v>
                </c:pt>
              </c:numCache>
            </c:numRef>
          </c:val>
          <c:smooth val="0"/>
        </c:ser>
        <c:dLbls>
          <c:showLegendKey val="0"/>
          <c:showVal val="1"/>
          <c:showCatName val="0"/>
          <c:showSerName val="0"/>
          <c:showPercent val="0"/>
          <c:showBubbleSize val="0"/>
        </c:dLbls>
        <c:marker val="1"/>
        <c:smooth val="0"/>
        <c:axId val="76880128"/>
        <c:axId val="76890112"/>
      </c:lineChart>
      <c:catAx>
        <c:axId val="76880128"/>
        <c:scaling>
          <c:orientation val="minMax"/>
        </c:scaling>
        <c:delete val="0"/>
        <c:axPos val="b"/>
        <c:numFmt formatCode="0" sourceLinked="1"/>
        <c:majorTickMark val="out"/>
        <c:minorTickMark val="none"/>
        <c:tickLblPos val="nextTo"/>
        <c:crossAx val="76890112"/>
        <c:crosses val="autoZero"/>
        <c:auto val="1"/>
        <c:lblAlgn val="ctr"/>
        <c:lblOffset val="100"/>
        <c:noMultiLvlLbl val="0"/>
      </c:catAx>
      <c:valAx>
        <c:axId val="76890112"/>
        <c:scaling>
          <c:orientation val="minMax"/>
        </c:scaling>
        <c:delete val="0"/>
        <c:axPos val="l"/>
        <c:majorGridlines/>
        <c:numFmt formatCode="0" sourceLinked="1"/>
        <c:majorTickMark val="out"/>
        <c:minorTickMark val="none"/>
        <c:tickLblPos val="nextTo"/>
        <c:crossAx val="76880128"/>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sk-SK"/>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1544841922495"/>
          <c:y val="6.4688329887967536E-2"/>
          <c:w val="0.86594405151356835"/>
          <c:h val="0.75308868009723451"/>
        </c:manualLayout>
      </c:layout>
      <c:lineChart>
        <c:grouping val="standard"/>
        <c:varyColors val="0"/>
        <c:ser>
          <c:idx val="0"/>
          <c:order val="0"/>
          <c:tx>
            <c:strRef>
              <c:f>Tab31_ŠVOČ!$B$16</c:f>
              <c:strCache>
                <c:ptCount val="1"/>
                <c:pt idx="0">
                  <c:v>sekcie</c:v>
                </c:pt>
              </c:strCache>
            </c:strRef>
          </c:tx>
          <c:spPr>
            <a:ln w="38100"/>
          </c:spPr>
          <c:marker>
            <c:symbol val="none"/>
          </c:marker>
          <c:dLbls>
            <c:dLblPos val="t"/>
            <c:showLegendKey val="0"/>
            <c:showVal val="1"/>
            <c:showCatName val="0"/>
            <c:showSerName val="0"/>
            <c:showPercent val="0"/>
            <c:showBubbleSize val="0"/>
            <c:showLeaderLines val="0"/>
          </c:dLbls>
          <c:cat>
            <c:strRef>
              <c:f>Tab31_ŠVOČ!$A$17:$A$19</c:f>
              <c:strCache>
                <c:ptCount val="3"/>
                <c:pt idx="0">
                  <c:v>2011/2012</c:v>
                </c:pt>
                <c:pt idx="1">
                  <c:v>2012/2013</c:v>
                </c:pt>
                <c:pt idx="2">
                  <c:v>2013/2014</c:v>
                </c:pt>
              </c:strCache>
            </c:strRef>
          </c:cat>
          <c:val>
            <c:numRef>
              <c:f>Tab31_ŠVOČ!$B$17:$B$19</c:f>
              <c:numCache>
                <c:formatCode>#,##0</c:formatCode>
                <c:ptCount val="3"/>
                <c:pt idx="0">
                  <c:v>96</c:v>
                </c:pt>
                <c:pt idx="1">
                  <c:v>98</c:v>
                </c:pt>
                <c:pt idx="2">
                  <c:v>96</c:v>
                </c:pt>
              </c:numCache>
            </c:numRef>
          </c:val>
          <c:smooth val="0"/>
        </c:ser>
        <c:ser>
          <c:idx val="1"/>
          <c:order val="1"/>
          <c:tx>
            <c:strRef>
              <c:f>Tab31_ŠVOČ!$C$16</c:f>
              <c:strCache>
                <c:ptCount val="1"/>
                <c:pt idx="0">
                  <c:v>práce</c:v>
                </c:pt>
              </c:strCache>
            </c:strRef>
          </c:tx>
          <c:spPr>
            <a:ln w="38100"/>
          </c:spPr>
          <c:marker>
            <c:symbol val="none"/>
          </c:marker>
          <c:dLbls>
            <c:dLbl>
              <c:idx val="0"/>
              <c:layout>
                <c:manualLayout>
                  <c:x val="-4.3778569061894465E-2"/>
                  <c:y val="5.0652851484211614E-2"/>
                </c:manualLayout>
              </c:layout>
              <c:dLblPos val="r"/>
              <c:showLegendKey val="0"/>
              <c:showVal val="1"/>
              <c:showCatName val="0"/>
              <c:showSerName val="0"/>
              <c:showPercent val="0"/>
              <c:showBubbleSize val="0"/>
            </c:dLbl>
            <c:dLbl>
              <c:idx val="1"/>
              <c:layout>
                <c:manualLayout>
                  <c:x val="-4.6496883997729513E-2"/>
                  <c:y val="4.2798162002661323E-2"/>
                </c:manualLayout>
              </c:layout>
              <c:dLblPos val="r"/>
              <c:showLegendKey val="0"/>
              <c:showVal val="1"/>
              <c:showCatName val="0"/>
              <c:showSerName val="0"/>
              <c:showPercent val="0"/>
              <c:showBubbleSize val="0"/>
            </c:dLbl>
            <c:dLbl>
              <c:idx val="2"/>
              <c:layout>
                <c:manualLayout>
                  <c:x val="-5.193351386939931E-2"/>
                  <c:y val="5.458019622498684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Tab31_ŠVOČ!$A$17:$A$19</c:f>
              <c:strCache>
                <c:ptCount val="3"/>
                <c:pt idx="0">
                  <c:v>2011/2012</c:v>
                </c:pt>
                <c:pt idx="1">
                  <c:v>2012/2013</c:v>
                </c:pt>
                <c:pt idx="2">
                  <c:v>2013/2014</c:v>
                </c:pt>
              </c:strCache>
            </c:strRef>
          </c:cat>
          <c:val>
            <c:numRef>
              <c:f>Tab31_ŠVOČ!$C$17:$C$19</c:f>
              <c:numCache>
                <c:formatCode>#,##0</c:formatCode>
                <c:ptCount val="3"/>
                <c:pt idx="0">
                  <c:v>940</c:v>
                </c:pt>
                <c:pt idx="1">
                  <c:v>918</c:v>
                </c:pt>
                <c:pt idx="2">
                  <c:v>930</c:v>
                </c:pt>
              </c:numCache>
            </c:numRef>
          </c:val>
          <c:smooth val="0"/>
        </c:ser>
        <c:ser>
          <c:idx val="2"/>
          <c:order val="2"/>
          <c:tx>
            <c:strRef>
              <c:f>Tab31_ŠVOČ!$D$16</c:f>
              <c:strCache>
                <c:ptCount val="1"/>
                <c:pt idx="0">
                  <c:v>študenti</c:v>
                </c:pt>
              </c:strCache>
            </c:strRef>
          </c:tx>
          <c:spPr>
            <a:ln w="38100"/>
          </c:spPr>
          <c:marker>
            <c:symbol val="none"/>
          </c:marker>
          <c:dLbls>
            <c:dLbl>
              <c:idx val="0"/>
              <c:layout>
                <c:manualLayout>
                  <c:x val="-4.8304456409786707E-2"/>
                  <c:y val="3.1016127780335915E-2"/>
                </c:manualLayout>
              </c:layout>
              <c:dLblPos val="r"/>
              <c:showLegendKey val="0"/>
              <c:showVal val="1"/>
              <c:showCatName val="0"/>
              <c:showSerName val="0"/>
              <c:showPercent val="0"/>
              <c:showBubbleSize val="0"/>
            </c:dLbl>
            <c:dLbl>
              <c:idx val="1"/>
              <c:layout>
                <c:manualLayout>
                  <c:x val="-5.374108628145647E-2"/>
                  <c:y val="2.3161438298785548E-2"/>
                </c:manualLayout>
              </c:layout>
              <c:dLblPos val="r"/>
              <c:showLegendKey val="0"/>
              <c:showVal val="1"/>
              <c:showCatName val="0"/>
              <c:showSerName val="0"/>
              <c:showPercent val="0"/>
              <c:showBubbleSize val="0"/>
            </c:dLbl>
            <c:dLbl>
              <c:idx val="2"/>
              <c:layout>
                <c:manualLayout>
                  <c:x val="-5.6459401217291413E-2"/>
                  <c:y val="4.279816200266132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Tab31_ŠVOČ!$A$17:$A$19</c:f>
              <c:strCache>
                <c:ptCount val="3"/>
                <c:pt idx="0">
                  <c:v>2011/2012</c:v>
                </c:pt>
                <c:pt idx="1">
                  <c:v>2012/2013</c:v>
                </c:pt>
                <c:pt idx="2">
                  <c:v>2013/2014</c:v>
                </c:pt>
              </c:strCache>
            </c:strRef>
          </c:cat>
          <c:val>
            <c:numRef>
              <c:f>Tab31_ŠVOČ!$D$17:$D$19</c:f>
              <c:numCache>
                <c:formatCode>#,##0</c:formatCode>
                <c:ptCount val="3"/>
                <c:pt idx="0">
                  <c:v>1100</c:v>
                </c:pt>
                <c:pt idx="1">
                  <c:v>1091</c:v>
                </c:pt>
                <c:pt idx="2">
                  <c:v>1106</c:v>
                </c:pt>
              </c:numCache>
            </c:numRef>
          </c:val>
          <c:smooth val="0"/>
        </c:ser>
        <c:dLbls>
          <c:showLegendKey val="0"/>
          <c:showVal val="1"/>
          <c:showCatName val="0"/>
          <c:showSerName val="0"/>
          <c:showPercent val="0"/>
          <c:showBubbleSize val="0"/>
        </c:dLbls>
        <c:marker val="1"/>
        <c:smooth val="0"/>
        <c:axId val="76908800"/>
        <c:axId val="76931072"/>
      </c:lineChart>
      <c:catAx>
        <c:axId val="76908800"/>
        <c:scaling>
          <c:orientation val="minMax"/>
        </c:scaling>
        <c:delete val="0"/>
        <c:axPos val="b"/>
        <c:majorTickMark val="out"/>
        <c:minorTickMark val="none"/>
        <c:tickLblPos val="nextTo"/>
        <c:crossAx val="76931072"/>
        <c:crosses val="autoZero"/>
        <c:auto val="1"/>
        <c:lblAlgn val="ctr"/>
        <c:lblOffset val="100"/>
        <c:noMultiLvlLbl val="0"/>
      </c:catAx>
      <c:valAx>
        <c:axId val="76931072"/>
        <c:scaling>
          <c:orientation val="minMax"/>
        </c:scaling>
        <c:delete val="0"/>
        <c:axPos val="l"/>
        <c:majorGridlines/>
        <c:numFmt formatCode="#,##0" sourceLinked="1"/>
        <c:majorTickMark val="out"/>
        <c:minorTickMark val="none"/>
        <c:tickLblPos val="nextTo"/>
        <c:crossAx val="76908800"/>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sk-S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38100"/>
          </c:spPr>
          <c:marker>
            <c:symbol val="none"/>
          </c:marker>
          <c:dLbls>
            <c:dLbl>
              <c:idx val="1"/>
              <c:layout>
                <c:manualLayout>
                  <c:x val="-4.6583333333333414E-2"/>
                  <c:y val="-8.8437591134441565E-2"/>
                </c:manualLayout>
              </c:layout>
              <c:dLblPos val="r"/>
              <c:showLegendKey val="0"/>
              <c:showVal val="1"/>
              <c:showCatName val="0"/>
              <c:showSerName val="0"/>
              <c:showPercent val="0"/>
              <c:showBubbleSize val="0"/>
            </c:dLbl>
            <c:dLbl>
              <c:idx val="2"/>
              <c:layout>
                <c:manualLayout>
                  <c:x val="-8.2694444444444612E-2"/>
                  <c:y val="-6.9919072615923034E-2"/>
                </c:manualLayout>
              </c:layout>
              <c:dLblPos val="r"/>
              <c:showLegendKey val="0"/>
              <c:showVal val="1"/>
              <c:showCatName val="0"/>
              <c:showSerName val="0"/>
              <c:showPercent val="0"/>
              <c:showBubbleSize val="0"/>
            </c:dLbl>
            <c:dLbl>
              <c:idx val="3"/>
              <c:layout>
                <c:manualLayout>
                  <c:x val="-5.4916666666666787E-2"/>
                  <c:y val="-4.2141294838145389E-2"/>
                </c:manualLayout>
              </c:layout>
              <c:dLblPos val="r"/>
              <c:showLegendKey val="0"/>
              <c:showVal val="1"/>
              <c:showCatName val="0"/>
              <c:showSerName val="0"/>
              <c:showPercent val="0"/>
              <c:showBubbleSize val="0"/>
            </c:dLbl>
            <c:dLbl>
              <c:idx val="4"/>
              <c:layout>
                <c:manualLayout>
                  <c:x val="-2.1583333333333371E-2"/>
                  <c:y val="-6.065981335666375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Tab33_CŽV_5rokov!$F$3:$J$3</c:f>
              <c:strCache>
                <c:ptCount val="5"/>
                <c:pt idx="0">
                  <c:v>2009/10</c:v>
                </c:pt>
                <c:pt idx="1">
                  <c:v>2010/11</c:v>
                </c:pt>
                <c:pt idx="2">
                  <c:v>2011/12</c:v>
                </c:pt>
                <c:pt idx="3">
                  <c:v>2012/13</c:v>
                </c:pt>
                <c:pt idx="4">
                  <c:v>2013/14</c:v>
                </c:pt>
              </c:strCache>
            </c:strRef>
          </c:cat>
          <c:val>
            <c:numRef>
              <c:f>Tab33_CŽV_5rokov!$F$8:$J$8</c:f>
              <c:numCache>
                <c:formatCode>#,##0</c:formatCode>
                <c:ptCount val="5"/>
                <c:pt idx="0">
                  <c:v>4377</c:v>
                </c:pt>
                <c:pt idx="1">
                  <c:v>4118</c:v>
                </c:pt>
                <c:pt idx="2">
                  <c:v>4389</c:v>
                </c:pt>
                <c:pt idx="3">
                  <c:v>5090</c:v>
                </c:pt>
                <c:pt idx="4">
                  <c:v>4202</c:v>
                </c:pt>
              </c:numCache>
            </c:numRef>
          </c:val>
          <c:smooth val="0"/>
        </c:ser>
        <c:dLbls>
          <c:showLegendKey val="0"/>
          <c:showVal val="0"/>
          <c:showCatName val="0"/>
          <c:showSerName val="0"/>
          <c:showPercent val="0"/>
          <c:showBubbleSize val="0"/>
        </c:dLbls>
        <c:marker val="1"/>
        <c:smooth val="0"/>
        <c:axId val="76959744"/>
        <c:axId val="76961280"/>
      </c:lineChart>
      <c:catAx>
        <c:axId val="76959744"/>
        <c:scaling>
          <c:orientation val="minMax"/>
        </c:scaling>
        <c:delete val="0"/>
        <c:axPos val="b"/>
        <c:majorTickMark val="out"/>
        <c:minorTickMark val="none"/>
        <c:tickLblPos val="nextTo"/>
        <c:crossAx val="76961280"/>
        <c:crosses val="autoZero"/>
        <c:auto val="1"/>
        <c:lblAlgn val="ctr"/>
        <c:lblOffset val="100"/>
        <c:noMultiLvlLbl val="0"/>
      </c:catAx>
      <c:valAx>
        <c:axId val="76961280"/>
        <c:scaling>
          <c:orientation val="minMax"/>
          <c:min val="4000"/>
        </c:scaling>
        <c:delete val="0"/>
        <c:axPos val="l"/>
        <c:majorGridlines/>
        <c:numFmt formatCode="#,##0" sourceLinked="1"/>
        <c:majorTickMark val="out"/>
        <c:minorTickMark val="none"/>
        <c:tickLblPos val="nextTo"/>
        <c:crossAx val="76959744"/>
        <c:crosses val="autoZero"/>
        <c:crossBetween val="between"/>
      </c:valAx>
    </c:plotArea>
    <c:plotVisOnly val="1"/>
    <c:dispBlanksAs val="gap"/>
    <c:showDLblsOverMax val="0"/>
  </c:chart>
  <c:spPr>
    <a:ln>
      <a:noFill/>
    </a:ln>
  </c:spPr>
  <c:txPr>
    <a:bodyPr/>
    <a:lstStyle/>
    <a:p>
      <a:pPr>
        <a:defRPr>
          <a:latin typeface="+mj-lt"/>
        </a:defRPr>
      </a:pPr>
      <a:endParaRPr lang="sk-S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10629921259953E-2"/>
          <c:y val="5.1400554097404488E-2"/>
          <c:w val="0.89745603674540686"/>
          <c:h val="0.8326195683872849"/>
        </c:manualLayout>
      </c:layout>
      <c:lineChart>
        <c:grouping val="standard"/>
        <c:varyColors val="0"/>
        <c:ser>
          <c:idx val="0"/>
          <c:order val="0"/>
          <c:tx>
            <c:strRef>
              <c:f>Hárok1!$B$24</c:f>
              <c:strCache>
                <c:ptCount val="1"/>
                <c:pt idx="0">
                  <c:v>SvF</c:v>
                </c:pt>
              </c:strCache>
            </c:strRef>
          </c:tx>
          <c:spPr>
            <a:ln>
              <a:solidFill>
                <a:schemeClr val="accent6">
                  <a:lumMod val="75000"/>
                </a:schemeClr>
              </a:solidFill>
            </a:ln>
          </c:spPr>
          <c:marker>
            <c:symbol val="circle"/>
            <c:size val="7"/>
            <c:spPr>
              <a:solidFill>
                <a:schemeClr val="accent6"/>
              </a:solidFill>
            </c:spPr>
          </c:marker>
          <c:cat>
            <c:numRef>
              <c:f>Hárok1!$A$25:$A$29</c:f>
              <c:numCache>
                <c:formatCode>General</c:formatCode>
                <c:ptCount val="5"/>
                <c:pt idx="0">
                  <c:v>2010</c:v>
                </c:pt>
                <c:pt idx="1">
                  <c:v>2011</c:v>
                </c:pt>
                <c:pt idx="2">
                  <c:v>2012</c:v>
                </c:pt>
                <c:pt idx="3">
                  <c:v>2013</c:v>
                </c:pt>
                <c:pt idx="4">
                  <c:v>2014</c:v>
                </c:pt>
              </c:numCache>
            </c:numRef>
          </c:cat>
          <c:val>
            <c:numRef>
              <c:f>Hárok1!$B$25:$B$29</c:f>
              <c:numCache>
                <c:formatCode>General</c:formatCode>
                <c:ptCount val="5"/>
                <c:pt idx="0">
                  <c:v>6</c:v>
                </c:pt>
                <c:pt idx="1">
                  <c:v>6</c:v>
                </c:pt>
                <c:pt idx="2">
                  <c:v>10</c:v>
                </c:pt>
                <c:pt idx="3">
                  <c:v>9</c:v>
                </c:pt>
                <c:pt idx="4">
                  <c:v>9</c:v>
                </c:pt>
              </c:numCache>
            </c:numRef>
          </c:val>
          <c:smooth val="0"/>
        </c:ser>
        <c:ser>
          <c:idx val="1"/>
          <c:order val="1"/>
          <c:tx>
            <c:strRef>
              <c:f>Hárok1!$C$24</c:f>
              <c:strCache>
                <c:ptCount val="1"/>
                <c:pt idx="0">
                  <c:v>SjF</c:v>
                </c:pt>
              </c:strCache>
            </c:strRef>
          </c:tx>
          <c:spPr>
            <a:ln>
              <a:solidFill>
                <a:schemeClr val="tx1"/>
              </a:solidFill>
            </a:ln>
          </c:spPr>
          <c:marker>
            <c:symbol val="circle"/>
            <c:size val="7"/>
            <c:spPr>
              <a:solidFill>
                <a:schemeClr val="tx1"/>
              </a:solidFill>
            </c:spPr>
          </c:marker>
          <c:cat>
            <c:numRef>
              <c:f>Hárok1!$A$25:$A$29</c:f>
              <c:numCache>
                <c:formatCode>General</c:formatCode>
                <c:ptCount val="5"/>
                <c:pt idx="0">
                  <c:v>2010</c:v>
                </c:pt>
                <c:pt idx="1">
                  <c:v>2011</c:v>
                </c:pt>
                <c:pt idx="2">
                  <c:v>2012</c:v>
                </c:pt>
                <c:pt idx="3">
                  <c:v>2013</c:v>
                </c:pt>
                <c:pt idx="4">
                  <c:v>2014</c:v>
                </c:pt>
              </c:numCache>
            </c:numRef>
          </c:cat>
          <c:val>
            <c:numRef>
              <c:f>Hárok1!$C$25:$C$29</c:f>
              <c:numCache>
                <c:formatCode>General</c:formatCode>
                <c:ptCount val="5"/>
                <c:pt idx="0">
                  <c:v>9</c:v>
                </c:pt>
                <c:pt idx="1">
                  <c:v>10</c:v>
                </c:pt>
                <c:pt idx="2">
                  <c:v>11</c:v>
                </c:pt>
                <c:pt idx="3">
                  <c:v>15</c:v>
                </c:pt>
                <c:pt idx="4">
                  <c:v>13</c:v>
                </c:pt>
              </c:numCache>
            </c:numRef>
          </c:val>
          <c:smooth val="0"/>
        </c:ser>
        <c:ser>
          <c:idx val="2"/>
          <c:order val="2"/>
          <c:tx>
            <c:strRef>
              <c:f>Hárok1!$D$24</c:f>
              <c:strCache>
                <c:ptCount val="1"/>
                <c:pt idx="0">
                  <c:v>FEI</c:v>
                </c:pt>
              </c:strCache>
            </c:strRef>
          </c:tx>
          <c:spPr>
            <a:ln>
              <a:solidFill>
                <a:srgbClr val="0070C0"/>
              </a:solidFill>
            </a:ln>
          </c:spPr>
          <c:marker>
            <c:symbol val="circle"/>
            <c:size val="7"/>
            <c:spPr>
              <a:solidFill>
                <a:srgbClr val="0070C0"/>
              </a:solidFill>
            </c:spPr>
          </c:marker>
          <c:cat>
            <c:numRef>
              <c:f>Hárok1!$A$25:$A$29</c:f>
              <c:numCache>
                <c:formatCode>General</c:formatCode>
                <c:ptCount val="5"/>
                <c:pt idx="0">
                  <c:v>2010</c:v>
                </c:pt>
                <c:pt idx="1">
                  <c:v>2011</c:v>
                </c:pt>
                <c:pt idx="2">
                  <c:v>2012</c:v>
                </c:pt>
                <c:pt idx="3">
                  <c:v>2013</c:v>
                </c:pt>
                <c:pt idx="4">
                  <c:v>2014</c:v>
                </c:pt>
              </c:numCache>
            </c:numRef>
          </c:cat>
          <c:val>
            <c:numRef>
              <c:f>Hárok1!$D$25:$D$29</c:f>
              <c:numCache>
                <c:formatCode>General</c:formatCode>
                <c:ptCount val="5"/>
                <c:pt idx="0">
                  <c:v>3</c:v>
                </c:pt>
                <c:pt idx="1">
                  <c:v>3</c:v>
                </c:pt>
                <c:pt idx="2">
                  <c:v>3</c:v>
                </c:pt>
                <c:pt idx="3">
                  <c:v>3</c:v>
                </c:pt>
                <c:pt idx="4">
                  <c:v>3</c:v>
                </c:pt>
              </c:numCache>
            </c:numRef>
          </c:val>
          <c:smooth val="0"/>
        </c:ser>
        <c:ser>
          <c:idx val="3"/>
          <c:order val="3"/>
          <c:tx>
            <c:strRef>
              <c:f>Hárok1!$E$24</c:f>
              <c:strCache>
                <c:ptCount val="1"/>
                <c:pt idx="0">
                  <c:v>FCHPT</c:v>
                </c:pt>
              </c:strCache>
            </c:strRef>
          </c:tx>
          <c:spPr>
            <a:ln>
              <a:solidFill>
                <a:srgbClr val="FFC000"/>
              </a:solidFill>
            </a:ln>
          </c:spPr>
          <c:marker>
            <c:symbol val="circle"/>
            <c:size val="7"/>
            <c:spPr>
              <a:solidFill>
                <a:srgbClr val="FFC000"/>
              </a:solidFill>
            </c:spPr>
          </c:marker>
          <c:cat>
            <c:numRef>
              <c:f>Hárok1!$A$25:$A$29</c:f>
              <c:numCache>
                <c:formatCode>General</c:formatCode>
                <c:ptCount val="5"/>
                <c:pt idx="0">
                  <c:v>2010</c:v>
                </c:pt>
                <c:pt idx="1">
                  <c:v>2011</c:v>
                </c:pt>
                <c:pt idx="2">
                  <c:v>2012</c:v>
                </c:pt>
                <c:pt idx="3">
                  <c:v>2013</c:v>
                </c:pt>
                <c:pt idx="4">
                  <c:v>2014</c:v>
                </c:pt>
              </c:numCache>
            </c:numRef>
          </c:cat>
          <c:val>
            <c:numRef>
              <c:f>Hárok1!$E$25:$E$29</c:f>
              <c:numCache>
                <c:formatCode>General</c:formatCode>
                <c:ptCount val="5"/>
                <c:pt idx="0">
                  <c:v>1</c:v>
                </c:pt>
                <c:pt idx="1">
                  <c:v>1</c:v>
                </c:pt>
                <c:pt idx="2">
                  <c:v>1</c:v>
                </c:pt>
                <c:pt idx="3">
                  <c:v>1</c:v>
                </c:pt>
                <c:pt idx="4">
                  <c:v>1</c:v>
                </c:pt>
              </c:numCache>
            </c:numRef>
          </c:val>
          <c:smooth val="0"/>
        </c:ser>
        <c:ser>
          <c:idx val="4"/>
          <c:order val="4"/>
          <c:tx>
            <c:strRef>
              <c:f>Hárok1!$F$24</c:f>
              <c:strCache>
                <c:ptCount val="1"/>
                <c:pt idx="0">
                  <c:v>FA</c:v>
                </c:pt>
              </c:strCache>
            </c:strRef>
          </c:tx>
          <c:spPr>
            <a:ln>
              <a:solidFill>
                <a:srgbClr val="00B050"/>
              </a:solidFill>
            </a:ln>
          </c:spPr>
          <c:marker>
            <c:symbol val="circle"/>
            <c:size val="7"/>
            <c:spPr>
              <a:solidFill>
                <a:srgbClr val="00B050"/>
              </a:solidFill>
            </c:spPr>
          </c:marker>
          <c:cat>
            <c:numRef>
              <c:f>Hárok1!$A$25:$A$29</c:f>
              <c:numCache>
                <c:formatCode>General</c:formatCode>
                <c:ptCount val="5"/>
                <c:pt idx="0">
                  <c:v>2010</c:v>
                </c:pt>
                <c:pt idx="1">
                  <c:v>2011</c:v>
                </c:pt>
                <c:pt idx="2">
                  <c:v>2012</c:v>
                </c:pt>
                <c:pt idx="3">
                  <c:v>2013</c:v>
                </c:pt>
                <c:pt idx="4">
                  <c:v>2014</c:v>
                </c:pt>
              </c:numCache>
            </c:numRef>
          </c:cat>
          <c:val>
            <c:numRef>
              <c:f>Hárok1!$F$25:$F$29</c:f>
              <c:numCache>
                <c:formatCode>General</c:formatCode>
                <c:ptCount val="5"/>
                <c:pt idx="0">
                  <c:v>13</c:v>
                </c:pt>
                <c:pt idx="1">
                  <c:v>15</c:v>
                </c:pt>
                <c:pt idx="2">
                  <c:v>16</c:v>
                </c:pt>
                <c:pt idx="3">
                  <c:v>17</c:v>
                </c:pt>
                <c:pt idx="4">
                  <c:v>17</c:v>
                </c:pt>
              </c:numCache>
            </c:numRef>
          </c:val>
          <c:smooth val="0"/>
        </c:ser>
        <c:ser>
          <c:idx val="5"/>
          <c:order val="5"/>
          <c:tx>
            <c:strRef>
              <c:f>Hárok1!$G$24</c:f>
              <c:strCache>
                <c:ptCount val="1"/>
                <c:pt idx="0">
                  <c:v>MTF</c:v>
                </c:pt>
              </c:strCache>
            </c:strRef>
          </c:tx>
          <c:spPr>
            <a:ln>
              <a:solidFill>
                <a:srgbClr val="C00000"/>
              </a:solidFill>
            </a:ln>
          </c:spPr>
          <c:marker>
            <c:spPr>
              <a:solidFill>
                <a:srgbClr val="C00000"/>
              </a:solidFill>
            </c:spPr>
          </c:marker>
          <c:cat>
            <c:numRef>
              <c:f>Hárok1!$A$25:$A$29</c:f>
              <c:numCache>
                <c:formatCode>General</c:formatCode>
                <c:ptCount val="5"/>
                <c:pt idx="0">
                  <c:v>2010</c:v>
                </c:pt>
                <c:pt idx="1">
                  <c:v>2011</c:v>
                </c:pt>
                <c:pt idx="2">
                  <c:v>2012</c:v>
                </c:pt>
                <c:pt idx="3">
                  <c:v>2013</c:v>
                </c:pt>
                <c:pt idx="4">
                  <c:v>2014</c:v>
                </c:pt>
              </c:numCache>
            </c:numRef>
          </c:cat>
          <c:val>
            <c:numRef>
              <c:f>Hárok1!$G$25:$G$29</c:f>
              <c:numCache>
                <c:formatCode>General</c:formatCode>
                <c:ptCount val="5"/>
                <c:pt idx="0">
                  <c:v>18</c:v>
                </c:pt>
                <c:pt idx="1">
                  <c:v>8</c:v>
                </c:pt>
                <c:pt idx="2">
                  <c:v>6</c:v>
                </c:pt>
                <c:pt idx="3">
                  <c:v>13</c:v>
                </c:pt>
                <c:pt idx="4">
                  <c:v>8</c:v>
                </c:pt>
              </c:numCache>
            </c:numRef>
          </c:val>
          <c:smooth val="0"/>
        </c:ser>
        <c:ser>
          <c:idx val="6"/>
          <c:order val="6"/>
          <c:tx>
            <c:strRef>
              <c:f>Hárok1!$H$24</c:f>
              <c:strCache>
                <c:ptCount val="1"/>
                <c:pt idx="0">
                  <c:v>FIIT</c:v>
                </c:pt>
              </c:strCache>
            </c:strRef>
          </c:tx>
          <c:spPr>
            <a:ln>
              <a:solidFill>
                <a:srgbClr val="00B0F0"/>
              </a:solidFill>
            </a:ln>
          </c:spPr>
          <c:marker>
            <c:symbol val="circle"/>
            <c:size val="7"/>
            <c:spPr>
              <a:solidFill>
                <a:srgbClr val="00B0F0"/>
              </a:solidFill>
            </c:spPr>
          </c:marker>
          <c:cat>
            <c:numRef>
              <c:f>Hárok1!$A$25:$A$29</c:f>
              <c:numCache>
                <c:formatCode>General</c:formatCode>
                <c:ptCount val="5"/>
                <c:pt idx="0">
                  <c:v>2010</c:v>
                </c:pt>
                <c:pt idx="1">
                  <c:v>2011</c:v>
                </c:pt>
                <c:pt idx="2">
                  <c:v>2012</c:v>
                </c:pt>
                <c:pt idx="3">
                  <c:v>2013</c:v>
                </c:pt>
                <c:pt idx="4">
                  <c:v>2014</c:v>
                </c:pt>
              </c:numCache>
            </c:numRef>
          </c:cat>
          <c:val>
            <c:numRef>
              <c:f>Hárok1!$H$25:$H$29</c:f>
              <c:numCache>
                <c:formatCode>General</c:formatCode>
                <c:ptCount val="5"/>
                <c:pt idx="0">
                  <c:v>15</c:v>
                </c:pt>
                <c:pt idx="1">
                  <c:v>13</c:v>
                </c:pt>
                <c:pt idx="2">
                  <c:v>12</c:v>
                </c:pt>
                <c:pt idx="3">
                  <c:v>12</c:v>
                </c:pt>
                <c:pt idx="4">
                  <c:v>12</c:v>
                </c:pt>
              </c:numCache>
            </c:numRef>
          </c:val>
          <c:smooth val="0"/>
        </c:ser>
        <c:dLbls>
          <c:showLegendKey val="0"/>
          <c:showVal val="0"/>
          <c:showCatName val="0"/>
          <c:showSerName val="0"/>
          <c:showPercent val="0"/>
          <c:showBubbleSize val="0"/>
        </c:dLbls>
        <c:marker val="1"/>
        <c:smooth val="0"/>
        <c:axId val="77018624"/>
        <c:axId val="77020544"/>
      </c:lineChart>
      <c:catAx>
        <c:axId val="77018624"/>
        <c:scaling>
          <c:orientation val="minMax"/>
        </c:scaling>
        <c:delete val="0"/>
        <c:axPos val="t"/>
        <c:numFmt formatCode="General" sourceLinked="1"/>
        <c:majorTickMark val="out"/>
        <c:minorTickMark val="none"/>
        <c:tickLblPos val="nextTo"/>
        <c:crossAx val="77020544"/>
        <c:crosses val="autoZero"/>
        <c:auto val="1"/>
        <c:lblAlgn val="ctr"/>
        <c:lblOffset val="100"/>
        <c:noMultiLvlLbl val="0"/>
      </c:catAx>
      <c:valAx>
        <c:axId val="77020544"/>
        <c:scaling>
          <c:orientation val="maxMin"/>
          <c:min val="1"/>
        </c:scaling>
        <c:delete val="0"/>
        <c:axPos val="l"/>
        <c:majorGridlines/>
        <c:numFmt formatCode="General" sourceLinked="1"/>
        <c:majorTickMark val="out"/>
        <c:minorTickMark val="none"/>
        <c:tickLblPos val="nextTo"/>
        <c:crossAx val="77018624"/>
        <c:crosses val="autoZero"/>
        <c:crossBetween val="between"/>
        <c:majorUnit val="2"/>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Hárok2!$R$626:$R$631</c:f>
              <c:strCache>
                <c:ptCount val="6"/>
                <c:pt idx="0">
                  <c:v>UK</c:v>
                </c:pt>
                <c:pt idx="1">
                  <c:v>STU</c:v>
                </c:pt>
                <c:pt idx="2">
                  <c:v>UPJŠ</c:v>
                </c:pt>
                <c:pt idx="3">
                  <c:v>TUKE</c:v>
                </c:pt>
                <c:pt idx="4">
                  <c:v>ŽU</c:v>
                </c:pt>
                <c:pt idx="5">
                  <c:v>ost.</c:v>
                </c:pt>
              </c:strCache>
            </c:strRef>
          </c:cat>
          <c:val>
            <c:numRef>
              <c:f>Hárok2!$S$626:$S$631</c:f>
              <c:numCache>
                <c:formatCode>General</c:formatCode>
                <c:ptCount val="6"/>
                <c:pt idx="0">
                  <c:v>11.861592635646819</c:v>
                </c:pt>
                <c:pt idx="1">
                  <c:v>13.579348592493139</c:v>
                </c:pt>
                <c:pt idx="2">
                  <c:v>16.751275284794936</c:v>
                </c:pt>
                <c:pt idx="3">
                  <c:v>11.4101064955584</c:v>
                </c:pt>
                <c:pt idx="4">
                  <c:v>8.5930385472450368</c:v>
                </c:pt>
                <c:pt idx="5">
                  <c:v>37.804638444261705</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3594790263758478"/>
          <c:y val="6.1472643788379015E-3"/>
          <c:w val="0.76304141371641676"/>
          <c:h val="0.66842778455510055"/>
        </c:manualLayout>
      </c:layout>
      <c:pie3DChart>
        <c:varyColors val="1"/>
        <c:ser>
          <c:idx val="0"/>
          <c:order val="0"/>
          <c:explosion val="25"/>
          <c:cat>
            <c:strRef>
              <c:f>Hárok2!$S$582:$S$587</c:f>
              <c:strCache>
                <c:ptCount val="6"/>
                <c:pt idx="0">
                  <c:v>UK</c:v>
                </c:pt>
                <c:pt idx="1">
                  <c:v>STU</c:v>
                </c:pt>
                <c:pt idx="2">
                  <c:v>UPJŠ</c:v>
                </c:pt>
                <c:pt idx="3">
                  <c:v>TUKE</c:v>
                </c:pt>
                <c:pt idx="4">
                  <c:v>ŽU</c:v>
                </c:pt>
                <c:pt idx="5">
                  <c:v>ost.</c:v>
                </c:pt>
              </c:strCache>
            </c:strRef>
          </c:cat>
          <c:val>
            <c:numRef>
              <c:f>Hárok2!$T$582:$T$587</c:f>
              <c:numCache>
                <c:formatCode>General</c:formatCode>
                <c:ptCount val="6"/>
                <c:pt idx="0">
                  <c:v>29.19437299190043</c:v>
                </c:pt>
                <c:pt idx="1">
                  <c:v>22.479725667338453</c:v>
                </c:pt>
                <c:pt idx="2">
                  <c:v>8.7403203402178011</c:v>
                </c:pt>
                <c:pt idx="3">
                  <c:v>8.0964651104078804</c:v>
                </c:pt>
                <c:pt idx="4">
                  <c:v>8.6555904445779728</c:v>
                </c:pt>
                <c:pt idx="5">
                  <c:v>22.833525445557488</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503118007055025E-2"/>
          <c:y val="4.4600170699933911E-2"/>
          <c:w val="0.88548186697792886"/>
          <c:h val="0.77983044533789014"/>
        </c:manualLayout>
      </c:layout>
      <c:lineChart>
        <c:grouping val="standard"/>
        <c:varyColors val="0"/>
        <c:ser>
          <c:idx val="0"/>
          <c:order val="0"/>
          <c:tx>
            <c:strRef>
              <c:f>Tab4a_štud_VŠ!$A$4</c:f>
              <c:strCache>
                <c:ptCount val="1"/>
                <c:pt idx="0">
                  <c:v>UK</c:v>
                </c:pt>
              </c:strCache>
            </c:strRef>
          </c:tx>
          <c:marker>
            <c:symbol val="none"/>
          </c:marker>
          <c:dLbls>
            <c:dLbl>
              <c:idx val="0"/>
              <c:layout>
                <c:manualLayout>
                  <c:x val="-5.3514124293785333E-2"/>
                  <c:y val="-4.1896229247004063E-2"/>
                </c:manualLayout>
              </c:layout>
              <c:dLblPos val="r"/>
              <c:showLegendKey val="0"/>
              <c:showVal val="1"/>
              <c:showCatName val="0"/>
              <c:showSerName val="0"/>
              <c:showPercent val="0"/>
              <c:showBubbleSize val="0"/>
            </c:dLbl>
            <c:dLbl>
              <c:idx val="1"/>
              <c:layout>
                <c:manualLayout>
                  <c:x val="-5.3514124293785284E-2"/>
                  <c:y val="-4.1896229247004063E-2"/>
                </c:manualLayout>
              </c:layout>
              <c:dLblPos val="r"/>
              <c:showLegendKey val="0"/>
              <c:showVal val="1"/>
              <c:showCatName val="0"/>
              <c:showSerName val="0"/>
              <c:showPercent val="0"/>
              <c:showBubbleSize val="0"/>
            </c:dLbl>
            <c:dLbl>
              <c:idx val="2"/>
              <c:layout>
                <c:manualLayout>
                  <c:x val="-5.3514124293785312E-2"/>
                  <c:y val="-4.1896229247004063E-2"/>
                </c:manualLayout>
              </c:layout>
              <c:dLblPos val="r"/>
              <c:showLegendKey val="0"/>
              <c:showVal val="1"/>
              <c:showCatName val="0"/>
              <c:showSerName val="0"/>
              <c:showPercent val="0"/>
              <c:showBubbleSize val="0"/>
            </c:dLbl>
            <c:dLbl>
              <c:idx val="3"/>
              <c:layout>
                <c:manualLayout>
                  <c:x val="-4.4474576271186443E-2"/>
                  <c:y val="-3.7986160820806553E-2"/>
                </c:manualLayout>
              </c:layout>
              <c:dLblPos val="r"/>
              <c:showLegendKey val="0"/>
              <c:showVal val="1"/>
              <c:showCatName val="0"/>
              <c:showSerName val="0"/>
              <c:showPercent val="0"/>
              <c:showBubbleSize val="0"/>
            </c:dLbl>
            <c:dLbl>
              <c:idx val="4"/>
              <c:layout>
                <c:manualLayout>
                  <c:x val="-5.3514124293785312E-2"/>
                  <c:y val="-4.189622924700406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Tab4a_štud_VŠ!$B$4:$F$4</c:f>
              <c:numCache>
                <c:formatCode>#,##0</c:formatCode>
                <c:ptCount val="5"/>
                <c:pt idx="0">
                  <c:v>27416</c:v>
                </c:pt>
                <c:pt idx="1">
                  <c:v>27561</c:v>
                </c:pt>
                <c:pt idx="2">
                  <c:v>27800</c:v>
                </c:pt>
                <c:pt idx="3">
                  <c:v>27592</c:v>
                </c:pt>
                <c:pt idx="4">
                  <c:v>27347</c:v>
                </c:pt>
              </c:numCache>
            </c:numRef>
          </c:val>
          <c:smooth val="0"/>
        </c:ser>
        <c:ser>
          <c:idx val="1"/>
          <c:order val="1"/>
          <c:tx>
            <c:strRef>
              <c:f>Tab4a_štud_VŠ!$A$5</c:f>
              <c:strCache>
                <c:ptCount val="1"/>
                <c:pt idx="0">
                  <c:v>STU</c:v>
                </c:pt>
              </c:strCache>
            </c:strRef>
          </c:tx>
          <c:marker>
            <c:symbol val="none"/>
          </c:marker>
          <c:dLbls>
            <c:dLbl>
              <c:idx val="4"/>
              <c:layout>
                <c:manualLayout>
                  <c:x val="-3.5874674081581411E-2"/>
                  <c:y val="-4.502584084205967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Tab4a_štud_VŠ!$B$5:$F$5</c:f>
              <c:numCache>
                <c:formatCode>#,##0</c:formatCode>
                <c:ptCount val="5"/>
                <c:pt idx="0">
                  <c:v>18253</c:v>
                </c:pt>
                <c:pt idx="1">
                  <c:v>18142</c:v>
                </c:pt>
                <c:pt idx="2">
                  <c:v>17736</c:v>
                </c:pt>
                <c:pt idx="3">
                  <c:v>17059</c:v>
                </c:pt>
                <c:pt idx="4">
                  <c:v>16402</c:v>
                </c:pt>
              </c:numCache>
            </c:numRef>
          </c:val>
          <c:smooth val="0"/>
        </c:ser>
        <c:ser>
          <c:idx val="2"/>
          <c:order val="2"/>
          <c:tx>
            <c:strRef>
              <c:f>Tab4a_štud_VŠ!$A$6</c:f>
              <c:strCache>
                <c:ptCount val="1"/>
                <c:pt idx="0">
                  <c:v>TU KE</c:v>
                </c:pt>
              </c:strCache>
            </c:strRef>
          </c:tx>
          <c:marker>
            <c:symbol val="none"/>
          </c:marker>
          <c:dLbls>
            <c:dLbl>
              <c:idx val="0"/>
              <c:layout>
                <c:manualLayout>
                  <c:x val="-4.8048127647410392E-2"/>
                  <c:y val="2.8892226100603404E-2"/>
                </c:manualLayout>
              </c:layout>
              <c:dLblPos val="r"/>
              <c:showLegendKey val="0"/>
              <c:showVal val="1"/>
              <c:showCatName val="0"/>
              <c:showSerName val="0"/>
              <c:showPercent val="0"/>
              <c:showBubbleSize val="0"/>
            </c:dLbl>
            <c:dLbl>
              <c:idx val="1"/>
              <c:layout>
                <c:manualLayout>
                  <c:x val="-3.1811410551568088E-2"/>
                  <c:y val="-1.6922555733164982E-2"/>
                </c:manualLayout>
              </c:layout>
              <c:dLblPos val="r"/>
              <c:showLegendKey val="0"/>
              <c:showVal val="1"/>
              <c:showCatName val="0"/>
              <c:showSerName val="0"/>
              <c:showPercent val="0"/>
              <c:showBubbleSize val="0"/>
            </c:dLbl>
            <c:dLbl>
              <c:idx val="2"/>
              <c:layout>
                <c:manualLayout>
                  <c:x val="-5.3514124293785312E-2"/>
                  <c:y val="-4.1896229247004063E-2"/>
                </c:manualLayout>
              </c:layout>
              <c:dLblPos val="r"/>
              <c:showLegendKey val="0"/>
              <c:showVal val="1"/>
              <c:showCatName val="0"/>
              <c:showSerName val="0"/>
              <c:showPercent val="0"/>
              <c:showBubbleSize val="0"/>
            </c:dLbl>
            <c:dLbl>
              <c:idx val="4"/>
              <c:layout>
                <c:manualLayout>
                  <c:x val="-3.8074894103583584E-2"/>
                  <c:y val="-4.502584084205960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Tab4a_štud_VŠ!$B$6:$F$6</c:f>
              <c:numCache>
                <c:formatCode>#,##0</c:formatCode>
                <c:ptCount val="5"/>
                <c:pt idx="0">
                  <c:v>17609</c:v>
                </c:pt>
                <c:pt idx="1">
                  <c:v>16630</c:v>
                </c:pt>
                <c:pt idx="2">
                  <c:v>15324</c:v>
                </c:pt>
                <c:pt idx="3">
                  <c:v>13141</c:v>
                </c:pt>
                <c:pt idx="4">
                  <c:v>11703</c:v>
                </c:pt>
              </c:numCache>
            </c:numRef>
          </c:val>
          <c:smooth val="0"/>
        </c:ser>
        <c:ser>
          <c:idx val="3"/>
          <c:order val="3"/>
          <c:tx>
            <c:strRef>
              <c:f>Tab4a_štud_VŠ!$A$7</c:f>
              <c:strCache>
                <c:ptCount val="1"/>
                <c:pt idx="0">
                  <c:v>ŽU </c:v>
                </c:pt>
              </c:strCache>
            </c:strRef>
          </c:tx>
          <c:marker>
            <c:symbol val="none"/>
          </c:marker>
          <c:dLbls>
            <c:dLbl>
              <c:idx val="3"/>
              <c:layout>
                <c:manualLayout>
                  <c:x val="-4.4675554169590147E-2"/>
                  <c:y val="-3.4716562491544228E-2"/>
                </c:manualLayout>
              </c:layout>
              <c:dLblPos val="r"/>
              <c:showLegendKey val="0"/>
              <c:showVal val="1"/>
              <c:showCatName val="0"/>
              <c:showSerName val="0"/>
              <c:showPercent val="0"/>
              <c:showBubbleSize val="0"/>
            </c:dLbl>
            <c:dLbl>
              <c:idx val="4"/>
              <c:layout>
                <c:manualLayout>
                  <c:x val="-3.4218779973556504E-2"/>
                  <c:y val="-1.53475356371931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Tab4a_štud_VŠ!$B$7:$F$7</c:f>
              <c:numCache>
                <c:formatCode>#,##0</c:formatCode>
                <c:ptCount val="5"/>
                <c:pt idx="0">
                  <c:v>11988</c:v>
                </c:pt>
                <c:pt idx="1">
                  <c:v>11761</c:v>
                </c:pt>
                <c:pt idx="2">
                  <c:v>11448</c:v>
                </c:pt>
                <c:pt idx="3">
                  <c:v>10970</c:v>
                </c:pt>
                <c:pt idx="4">
                  <c:v>10250</c:v>
                </c:pt>
              </c:numCache>
            </c:numRef>
          </c:val>
          <c:smooth val="0"/>
        </c:ser>
        <c:ser>
          <c:idx val="4"/>
          <c:order val="4"/>
          <c:tx>
            <c:strRef>
              <c:f>Tab4a_štud_VŠ!$A$8</c:f>
              <c:strCache>
                <c:ptCount val="1"/>
                <c:pt idx="0">
                  <c:v>SPU</c:v>
                </c:pt>
              </c:strCache>
            </c:strRef>
          </c:tx>
          <c:marker>
            <c:symbol val="none"/>
          </c:marker>
          <c:dLbls>
            <c:dLbl>
              <c:idx val="0"/>
              <c:layout>
                <c:manualLayout>
                  <c:x val="-4.2434101677884327E-2"/>
                  <c:y val="2.1612414427577983E-2"/>
                </c:manualLayout>
              </c:layout>
              <c:dLblPos val="r"/>
              <c:showLegendKey val="0"/>
              <c:showVal val="1"/>
              <c:showCatName val="0"/>
              <c:showSerName val="0"/>
              <c:showPercent val="0"/>
              <c:showBubbleSize val="0"/>
            </c:dLbl>
            <c:dLbl>
              <c:idx val="1"/>
              <c:layout>
                <c:manualLayout>
                  <c:x val="-3.0067321414592767E-2"/>
                  <c:y val="2.8652461723136877E-2"/>
                </c:manualLayout>
              </c:layout>
              <c:dLblPos val="r"/>
              <c:showLegendKey val="0"/>
              <c:showVal val="1"/>
              <c:showCatName val="0"/>
              <c:showSerName val="0"/>
              <c:showPercent val="0"/>
              <c:showBubbleSize val="0"/>
            </c:dLbl>
            <c:dLbl>
              <c:idx val="2"/>
              <c:layout>
                <c:manualLayout>
                  <c:x val="-3.0067321414592767E-2"/>
                  <c:y val="2.2366747814518358E-2"/>
                </c:manualLayout>
              </c:layout>
              <c:dLblPos val="r"/>
              <c:showLegendKey val="0"/>
              <c:showVal val="1"/>
              <c:showCatName val="0"/>
              <c:showSerName val="0"/>
              <c:showPercent val="0"/>
              <c:showBubbleSize val="0"/>
            </c:dLbl>
            <c:dLbl>
              <c:idx val="3"/>
              <c:layout>
                <c:manualLayout>
                  <c:x val="-3.0067321414592767E-2"/>
                  <c:y val="1.8176271875439257E-2"/>
                </c:manualLayout>
              </c:layout>
              <c:dLblPos val="r"/>
              <c:showLegendKey val="0"/>
              <c:showVal val="1"/>
              <c:showCatName val="0"/>
              <c:showSerName val="0"/>
              <c:showPercent val="0"/>
              <c:showBubbleSize val="0"/>
            </c:dLbl>
            <c:dLbl>
              <c:idx val="4"/>
              <c:layout>
                <c:manualLayout>
                  <c:x val="-2.6986093560077872E-2"/>
                  <c:y val="2.918600499821492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Tab4a_štud_VŠ!$B$8:$F$8</c:f>
              <c:numCache>
                <c:formatCode>#,##0</c:formatCode>
                <c:ptCount val="5"/>
                <c:pt idx="0">
                  <c:v>9896</c:v>
                </c:pt>
                <c:pt idx="1">
                  <c:v>9970</c:v>
                </c:pt>
                <c:pt idx="2">
                  <c:v>9825</c:v>
                </c:pt>
                <c:pt idx="3">
                  <c:v>9422</c:v>
                </c:pt>
                <c:pt idx="4">
                  <c:v>8997</c:v>
                </c:pt>
              </c:numCache>
            </c:numRef>
          </c:val>
          <c:smooth val="0"/>
        </c:ser>
        <c:ser>
          <c:idx val="5"/>
          <c:order val="5"/>
          <c:tx>
            <c:strRef>
              <c:f>Tab4a_štud_VŠ!$A$9</c:f>
              <c:strCache>
                <c:ptCount val="1"/>
                <c:pt idx="0">
                  <c:v>TU ZV</c:v>
                </c:pt>
              </c:strCache>
            </c:strRef>
          </c:tx>
          <c:marker>
            <c:symbol val="none"/>
          </c:marker>
          <c:dLbls>
            <c:dLbl>
              <c:idx val="4"/>
              <c:layout>
                <c:manualLayout>
                  <c:x val="-3.0297029702970296E-2"/>
                  <c:y val="-3.815298860838271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Tab4a_štud_VŠ!$B$3:$F$3</c:f>
              <c:strCache>
                <c:ptCount val="5"/>
                <c:pt idx="0">
                  <c:v>2009/2010</c:v>
                </c:pt>
                <c:pt idx="1">
                  <c:v>2010/2011</c:v>
                </c:pt>
                <c:pt idx="2">
                  <c:v>2011/2012</c:v>
                </c:pt>
                <c:pt idx="3">
                  <c:v>2012/2013</c:v>
                </c:pt>
                <c:pt idx="4">
                  <c:v>2013/2014</c:v>
                </c:pt>
              </c:strCache>
            </c:strRef>
          </c:cat>
          <c:val>
            <c:numRef>
              <c:f>Tab4a_štud_VŠ!$B$9:$F$9</c:f>
              <c:numCache>
                <c:formatCode>#,##0</c:formatCode>
                <c:ptCount val="5"/>
                <c:pt idx="0">
                  <c:v>4948</c:v>
                </c:pt>
                <c:pt idx="1">
                  <c:v>5232</c:v>
                </c:pt>
                <c:pt idx="2">
                  <c:v>4878</c:v>
                </c:pt>
                <c:pt idx="3">
                  <c:v>4496</c:v>
                </c:pt>
                <c:pt idx="4">
                  <c:v>4209</c:v>
                </c:pt>
              </c:numCache>
            </c:numRef>
          </c:val>
          <c:smooth val="0"/>
        </c:ser>
        <c:dLbls>
          <c:showLegendKey val="0"/>
          <c:showVal val="1"/>
          <c:showCatName val="0"/>
          <c:showSerName val="0"/>
          <c:showPercent val="0"/>
          <c:showBubbleSize val="0"/>
        </c:dLbls>
        <c:marker val="1"/>
        <c:smooth val="0"/>
        <c:axId val="105711104"/>
        <c:axId val="105712640"/>
      </c:lineChart>
      <c:catAx>
        <c:axId val="105711104"/>
        <c:scaling>
          <c:orientation val="minMax"/>
        </c:scaling>
        <c:delete val="0"/>
        <c:axPos val="b"/>
        <c:majorTickMark val="none"/>
        <c:minorTickMark val="none"/>
        <c:tickLblPos val="nextTo"/>
        <c:crossAx val="105712640"/>
        <c:crosses val="autoZero"/>
        <c:auto val="1"/>
        <c:lblAlgn val="ctr"/>
        <c:lblOffset val="100"/>
        <c:noMultiLvlLbl val="0"/>
      </c:catAx>
      <c:valAx>
        <c:axId val="105712640"/>
        <c:scaling>
          <c:orientation val="minMax"/>
        </c:scaling>
        <c:delete val="0"/>
        <c:axPos val="l"/>
        <c:majorGridlines/>
        <c:numFmt formatCode="#,##0" sourceLinked="1"/>
        <c:majorTickMark val="none"/>
        <c:minorTickMark val="none"/>
        <c:tickLblPos val="nextTo"/>
        <c:crossAx val="105711104"/>
        <c:crosses val="autoZero"/>
        <c:crossBetween val="between"/>
      </c:valAx>
    </c:plotArea>
    <c:legend>
      <c:legendPos val="b"/>
      <c:layout>
        <c:manualLayout>
          <c:xMode val="edge"/>
          <c:yMode val="edge"/>
          <c:x val="0.13310611972029296"/>
          <c:y val="0.94970151757346299"/>
          <c:w val="0.76108768037901964"/>
          <c:h val="3.7767154105736785E-2"/>
        </c:manualLayout>
      </c:layout>
      <c:overlay val="0"/>
    </c:legend>
    <c:plotVisOnly val="1"/>
    <c:dispBlanksAs val="gap"/>
    <c:showDLblsOverMax val="0"/>
  </c:chart>
  <c:spPr>
    <a:ln>
      <a:noFill/>
    </a:ln>
  </c:spPr>
  <c:txPr>
    <a:bodyPr/>
    <a:lstStyle/>
    <a:p>
      <a:pPr>
        <a:defRPr sz="1100">
          <a:latin typeface="+mj-lt"/>
        </a:defRPr>
      </a:pPr>
      <a:endParaRPr lang="sk-SK"/>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Hárok1!$J$18:$J$23</c:f>
              <c:strCache>
                <c:ptCount val="6"/>
                <c:pt idx="0">
                  <c:v>UK</c:v>
                </c:pt>
                <c:pt idx="1">
                  <c:v>STU</c:v>
                </c:pt>
                <c:pt idx="2">
                  <c:v>UPJŠ</c:v>
                </c:pt>
                <c:pt idx="3">
                  <c:v>TUKE</c:v>
                </c:pt>
                <c:pt idx="4">
                  <c:v>ŽU</c:v>
                </c:pt>
                <c:pt idx="5">
                  <c:v>ost.</c:v>
                </c:pt>
              </c:strCache>
            </c:strRef>
          </c:cat>
          <c:val>
            <c:numRef>
              <c:f>Hárok1!$K$18:$K$23</c:f>
              <c:numCache>
                <c:formatCode>0</c:formatCode>
                <c:ptCount val="6"/>
                <c:pt idx="0">
                  <c:v>22.480620155038732</c:v>
                </c:pt>
                <c:pt idx="1">
                  <c:v>25.462134764460306</c:v>
                </c:pt>
                <c:pt idx="2">
                  <c:v>10.912343470483005</c:v>
                </c:pt>
                <c:pt idx="3">
                  <c:v>20.393559928443651</c:v>
                </c:pt>
                <c:pt idx="4">
                  <c:v>12.075134168157424</c:v>
                </c:pt>
                <c:pt idx="5">
                  <c:v>8.6762075134168164</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Hárok2!$I$609:$I$614</c:f>
              <c:strCache>
                <c:ptCount val="6"/>
                <c:pt idx="0">
                  <c:v>UK</c:v>
                </c:pt>
                <c:pt idx="1">
                  <c:v>STU</c:v>
                </c:pt>
                <c:pt idx="2">
                  <c:v>UPJŠ</c:v>
                </c:pt>
                <c:pt idx="3">
                  <c:v>TUKE</c:v>
                </c:pt>
                <c:pt idx="4">
                  <c:v>ŽU</c:v>
                </c:pt>
                <c:pt idx="5">
                  <c:v>ost.</c:v>
                </c:pt>
              </c:strCache>
            </c:strRef>
          </c:cat>
          <c:val>
            <c:numRef>
              <c:f>Hárok2!$J$609:$J$614</c:f>
              <c:numCache>
                <c:formatCode>General</c:formatCode>
                <c:ptCount val="6"/>
                <c:pt idx="0">
                  <c:v>4.3623117141165455</c:v>
                </c:pt>
                <c:pt idx="1">
                  <c:v>64.743048098826819</c:v>
                </c:pt>
                <c:pt idx="2">
                  <c:v>1.9561995939079502</c:v>
                </c:pt>
                <c:pt idx="3">
                  <c:v>4.6938086015246894</c:v>
                </c:pt>
                <c:pt idx="4">
                  <c:v>14.92859938383727</c:v>
                </c:pt>
                <c:pt idx="5">
                  <c:v>9.3160326077866866</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75000"/>
                </a:schemeClr>
              </a:solidFill>
            </c:spPr>
          </c:dPt>
          <c:dPt>
            <c:idx val="1"/>
            <c:bubble3D val="0"/>
            <c:spPr>
              <a:solidFill>
                <a:schemeClr val="tx1"/>
              </a:solidFill>
            </c:spPr>
          </c:dPt>
          <c:dPt>
            <c:idx val="2"/>
            <c:bubble3D val="0"/>
            <c:spPr>
              <a:solidFill>
                <a:srgbClr val="0070C0"/>
              </a:solidFill>
            </c:spPr>
          </c:dPt>
          <c:dPt>
            <c:idx val="3"/>
            <c:bubble3D val="0"/>
            <c:spPr>
              <a:solidFill>
                <a:srgbClr val="FFFF00"/>
              </a:solidFill>
            </c:spPr>
          </c:dPt>
          <c:dPt>
            <c:idx val="4"/>
            <c:bubble3D val="0"/>
            <c:spPr>
              <a:solidFill>
                <a:srgbClr val="00B050"/>
              </a:solidFill>
            </c:spPr>
          </c:dPt>
          <c:dPt>
            <c:idx val="5"/>
            <c:bubble3D val="0"/>
            <c:spPr>
              <a:solidFill>
                <a:srgbClr val="C00000"/>
              </a:solidFill>
            </c:spPr>
          </c:dPt>
          <c:dPt>
            <c:idx val="6"/>
            <c:bubble3D val="0"/>
            <c:spPr>
              <a:solidFill>
                <a:srgbClr val="00B0F0"/>
              </a:solidFill>
            </c:spPr>
          </c:dPt>
          <c:dPt>
            <c:idx val="8"/>
            <c:bubble3D val="0"/>
            <c:spPr>
              <a:solidFill>
                <a:schemeClr val="accent2">
                  <a:lumMod val="75000"/>
                </a:schemeClr>
              </a:solidFill>
            </c:spPr>
          </c:dPt>
          <c:dLbls>
            <c:dLbl>
              <c:idx val="1"/>
              <c:spPr>
                <a:solidFill>
                  <a:schemeClr val="bg1"/>
                </a:solidFill>
              </c:spPr>
              <c:txPr>
                <a:bodyPr/>
                <a:lstStyle/>
                <a:p>
                  <a:pPr>
                    <a:defRPr/>
                  </a:pPr>
                  <a:endParaRPr lang="sk-SK"/>
                </a:p>
              </c:txPr>
              <c:showLegendKey val="0"/>
              <c:showVal val="0"/>
              <c:showCatName val="1"/>
              <c:showSerName val="0"/>
              <c:showPercent val="1"/>
              <c:showBubbleSize val="0"/>
            </c:dLbl>
            <c:spPr>
              <a:noFill/>
            </c:spPr>
            <c:showLegendKey val="0"/>
            <c:showVal val="0"/>
            <c:showCatName val="1"/>
            <c:showSerName val="0"/>
            <c:showPercent val="1"/>
            <c:showBubbleSize val="0"/>
            <c:showLeaderLines val="1"/>
          </c:dLbls>
          <c:cat>
            <c:strRef>
              <c:f>Hárok2!$I$39:$I$47</c:f>
              <c:strCache>
                <c:ptCount val="9"/>
                <c:pt idx="0">
                  <c:v>SvF</c:v>
                </c:pt>
                <c:pt idx="1">
                  <c:v>SjF</c:v>
                </c:pt>
                <c:pt idx="2">
                  <c:v>FEI</c:v>
                </c:pt>
                <c:pt idx="3">
                  <c:v>FCHPT</c:v>
                </c:pt>
                <c:pt idx="4">
                  <c:v>FA</c:v>
                </c:pt>
                <c:pt idx="5">
                  <c:v>MTF</c:v>
                </c:pt>
                <c:pt idx="6">
                  <c:v>FIIT</c:v>
                </c:pt>
                <c:pt idx="7">
                  <c:v>R STU</c:v>
                </c:pt>
                <c:pt idx="8">
                  <c:v>ÚM</c:v>
                </c:pt>
              </c:strCache>
            </c:strRef>
          </c:cat>
          <c:val>
            <c:numRef>
              <c:f>Hárok2!$J$39:$J$47</c:f>
              <c:numCache>
                <c:formatCode>0.0</c:formatCode>
                <c:ptCount val="9"/>
                <c:pt idx="0">
                  <c:v>19.690039930899712</c:v>
                </c:pt>
                <c:pt idx="1">
                  <c:v>11.0595848319221</c:v>
                </c:pt>
                <c:pt idx="2">
                  <c:v>20.087932938744267</c:v>
                </c:pt>
                <c:pt idx="3">
                  <c:v>18.354761972189969</c:v>
                </c:pt>
                <c:pt idx="4">
                  <c:v>9.1706550366741233</c:v>
                </c:pt>
                <c:pt idx="5">
                  <c:v>15.200645691144402</c:v>
                </c:pt>
                <c:pt idx="6">
                  <c:v>3.2765993599728152</c:v>
                </c:pt>
                <c:pt idx="7">
                  <c:v>0.38939707173402138</c:v>
                </c:pt>
                <c:pt idx="8">
                  <c:v>2.7703831667185859</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tx>
                <c:rich>
                  <a:bodyPr/>
                  <a:lstStyle/>
                  <a:p>
                    <a:r>
                      <a:rPr lang="en-US"/>
                      <a:t>Granty domáce</a:t>
                    </a:r>
                    <a:r>
                      <a:rPr lang="sk-SK"/>
                      <a:t> </a:t>
                    </a:r>
                    <a:r>
                      <a:rPr lang="en-US"/>
                      <a:t>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Hárok3!$B$20:$B$27</c:f>
              <c:strCache>
                <c:ptCount val="8"/>
                <c:pt idx="0">
                  <c:v>Dotácia na vzdelávanie</c:v>
                </c:pt>
                <c:pt idx="1">
                  <c:v>Dotácia na vedu</c:v>
                </c:pt>
                <c:pt idx="2">
                  <c:v>Podpora sociálnych služieb</c:v>
                </c:pt>
                <c:pt idx="3">
                  <c:v>Granty domáce</c:v>
                </c:pt>
                <c:pt idx="4">
                  <c:v>Granty zahraničné</c:v>
                </c:pt>
                <c:pt idx="5">
                  <c:v>Štrukturálne fondy</c:v>
                </c:pt>
                <c:pt idx="6">
                  <c:v>Zmluvy o dielo</c:v>
                </c:pt>
                <c:pt idx="7">
                  <c:v>Vlastné zdroje</c:v>
                </c:pt>
              </c:strCache>
            </c:strRef>
          </c:cat>
          <c:val>
            <c:numRef>
              <c:f>Hárok3!$C$20:$C$27</c:f>
              <c:numCache>
                <c:formatCode>0.00%</c:formatCode>
                <c:ptCount val="8"/>
                <c:pt idx="0">
                  <c:v>0.33685193427807436</c:v>
                </c:pt>
                <c:pt idx="1">
                  <c:v>0.16056220407124439</c:v>
                </c:pt>
                <c:pt idx="2">
                  <c:v>6.3668684275949794E-2</c:v>
                </c:pt>
                <c:pt idx="3">
                  <c:v>5.5225792374151657E-2</c:v>
                </c:pt>
                <c:pt idx="4">
                  <c:v>2.1357437243766902E-2</c:v>
                </c:pt>
                <c:pt idx="5">
                  <c:v>0.23771948248823868</c:v>
                </c:pt>
                <c:pt idx="6">
                  <c:v>1.3691509561872773E-2</c:v>
                </c:pt>
                <c:pt idx="7">
                  <c:v>0.11092295570670296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spPr>
            <a:solidFill>
              <a:srgbClr val="FFFF00"/>
            </a:solidFill>
          </c:spPr>
          <c:explosion val="25"/>
          <c:dPt>
            <c:idx val="0"/>
            <c:bubble3D val="0"/>
            <c:spPr>
              <a:solidFill>
                <a:schemeClr val="accent6">
                  <a:lumMod val="75000"/>
                </a:schemeClr>
              </a:solidFill>
            </c:spPr>
          </c:dPt>
          <c:dPt>
            <c:idx val="1"/>
            <c:bubble3D val="0"/>
            <c:spPr>
              <a:solidFill>
                <a:schemeClr val="tx1"/>
              </a:solidFill>
            </c:spPr>
          </c:dPt>
          <c:dPt>
            <c:idx val="2"/>
            <c:bubble3D val="0"/>
            <c:spPr>
              <a:solidFill>
                <a:srgbClr val="0070C0"/>
              </a:solidFill>
            </c:spPr>
          </c:dPt>
          <c:dPt>
            <c:idx val="4"/>
            <c:bubble3D val="0"/>
            <c:spPr>
              <a:solidFill>
                <a:srgbClr val="00B050"/>
              </a:solidFill>
            </c:spPr>
          </c:dPt>
          <c:dPt>
            <c:idx val="5"/>
            <c:bubble3D val="0"/>
            <c:spPr>
              <a:solidFill>
                <a:srgbClr val="C00000"/>
              </a:solidFill>
            </c:spPr>
          </c:dPt>
          <c:dPt>
            <c:idx val="6"/>
            <c:bubble3D val="0"/>
            <c:spPr>
              <a:solidFill>
                <a:srgbClr val="00B0F0"/>
              </a:solidFill>
            </c:spPr>
          </c:dPt>
          <c:cat>
            <c:strRef>
              <c:f>Hárok2!$H$24:$H$31</c:f>
              <c:strCache>
                <c:ptCount val="8"/>
                <c:pt idx="0">
                  <c:v>SvF</c:v>
                </c:pt>
                <c:pt idx="1">
                  <c:v>SjF</c:v>
                </c:pt>
                <c:pt idx="2">
                  <c:v>FEI</c:v>
                </c:pt>
                <c:pt idx="3">
                  <c:v>FCHPT</c:v>
                </c:pt>
                <c:pt idx="4">
                  <c:v>FA</c:v>
                </c:pt>
                <c:pt idx="5">
                  <c:v>MTF</c:v>
                </c:pt>
                <c:pt idx="6">
                  <c:v>FIIT</c:v>
                </c:pt>
                <c:pt idx="7">
                  <c:v>ÚM</c:v>
                </c:pt>
              </c:strCache>
            </c:strRef>
          </c:cat>
          <c:val>
            <c:numRef>
              <c:f>Hárok2!$I$24:$I$31</c:f>
              <c:numCache>
                <c:formatCode>0.0</c:formatCode>
                <c:ptCount val="8"/>
                <c:pt idx="0">
                  <c:v>19.847190510019885</c:v>
                </c:pt>
                <c:pt idx="1">
                  <c:v>8.0677508535664018</c:v>
                </c:pt>
                <c:pt idx="2">
                  <c:v>32.60104119186029</c:v>
                </c:pt>
                <c:pt idx="3">
                  <c:v>28.595532496280203</c:v>
                </c:pt>
                <c:pt idx="4">
                  <c:v>3.4130819421097751</c:v>
                </c:pt>
                <c:pt idx="5">
                  <c:v>6.1534633582580067</c:v>
                </c:pt>
                <c:pt idx="6">
                  <c:v>1.3219396479053434</c:v>
                </c:pt>
                <c:pt idx="7">
                  <c:v>0</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75000"/>
                </a:schemeClr>
              </a:solidFill>
            </c:spPr>
          </c:dPt>
          <c:dPt>
            <c:idx val="1"/>
            <c:bubble3D val="0"/>
            <c:spPr>
              <a:solidFill>
                <a:schemeClr val="tx1"/>
              </a:solidFill>
            </c:spPr>
          </c:dPt>
          <c:dPt>
            <c:idx val="2"/>
            <c:bubble3D val="0"/>
            <c:spPr>
              <a:solidFill>
                <a:srgbClr val="0070C0"/>
              </a:solidFill>
            </c:spPr>
          </c:dPt>
          <c:dPt>
            <c:idx val="3"/>
            <c:bubble3D val="0"/>
            <c:spPr>
              <a:solidFill>
                <a:srgbClr val="FFFF00"/>
              </a:solidFill>
            </c:spPr>
          </c:dPt>
          <c:dPt>
            <c:idx val="4"/>
            <c:bubble3D val="0"/>
            <c:spPr>
              <a:solidFill>
                <a:srgbClr val="00B050"/>
              </a:solidFill>
            </c:spPr>
          </c:dPt>
          <c:dPt>
            <c:idx val="5"/>
            <c:bubble3D val="0"/>
            <c:spPr>
              <a:solidFill>
                <a:srgbClr val="C00000"/>
              </a:solidFill>
            </c:spPr>
          </c:dPt>
          <c:dPt>
            <c:idx val="6"/>
            <c:bubble3D val="0"/>
            <c:spPr>
              <a:solidFill>
                <a:srgbClr val="00B0F0"/>
              </a:solidFill>
            </c:spPr>
          </c:dPt>
          <c:dLbls>
            <c:spPr>
              <a:noFill/>
            </c:spPr>
            <c:showLegendKey val="0"/>
            <c:showVal val="0"/>
            <c:showCatName val="1"/>
            <c:showSerName val="0"/>
            <c:showPercent val="1"/>
            <c:showBubbleSize val="0"/>
            <c:showLeaderLines val="1"/>
          </c:dLbls>
          <c:cat>
            <c:strRef>
              <c:f>Hárok2!$H$5:$H$12</c:f>
              <c:strCache>
                <c:ptCount val="8"/>
                <c:pt idx="0">
                  <c:v>SvF</c:v>
                </c:pt>
                <c:pt idx="1">
                  <c:v>SjF</c:v>
                </c:pt>
                <c:pt idx="2">
                  <c:v>FEI</c:v>
                </c:pt>
                <c:pt idx="3">
                  <c:v>FCHPT</c:v>
                </c:pt>
                <c:pt idx="4">
                  <c:v>FA</c:v>
                </c:pt>
                <c:pt idx="5">
                  <c:v>MTF</c:v>
                </c:pt>
                <c:pt idx="6">
                  <c:v>FIIT</c:v>
                </c:pt>
                <c:pt idx="7">
                  <c:v>ÚM</c:v>
                </c:pt>
              </c:strCache>
            </c:strRef>
          </c:cat>
          <c:val>
            <c:numRef>
              <c:f>Hárok2!$I$5:$I$12</c:f>
              <c:numCache>
                <c:formatCode>0.0</c:formatCode>
                <c:ptCount val="8"/>
                <c:pt idx="0">
                  <c:v>20.436532859267135</c:v>
                </c:pt>
                <c:pt idx="1">
                  <c:v>6.2165232382549878</c:v>
                </c:pt>
                <c:pt idx="2">
                  <c:v>27.111836861860613</c:v>
                </c:pt>
                <c:pt idx="3">
                  <c:v>28.65207644371409</c:v>
                </c:pt>
                <c:pt idx="4">
                  <c:v>0.89342672041415327</c:v>
                </c:pt>
                <c:pt idx="5">
                  <c:v>10.81952484047715</c:v>
                </c:pt>
                <c:pt idx="6">
                  <c:v>4.5317490660103514</c:v>
                </c:pt>
                <c:pt idx="7">
                  <c:v>1.3383299700015303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C00000"/>
              </a:solidFill>
            </c:spPr>
          </c:dPt>
          <c:dPt>
            <c:idx val="1"/>
            <c:bubble3D val="0"/>
            <c:spPr>
              <a:solidFill>
                <a:schemeClr val="tx1"/>
              </a:solidFill>
            </c:spPr>
          </c:dPt>
          <c:dPt>
            <c:idx val="2"/>
            <c:bubble3D val="0"/>
            <c:spPr>
              <a:solidFill>
                <a:srgbClr val="0070C0"/>
              </a:solidFill>
            </c:spPr>
          </c:dPt>
          <c:dPt>
            <c:idx val="3"/>
            <c:bubble3D val="0"/>
            <c:spPr>
              <a:solidFill>
                <a:srgbClr val="FFFF00"/>
              </a:solidFill>
            </c:spPr>
          </c:dPt>
          <c:dPt>
            <c:idx val="4"/>
            <c:bubble3D val="0"/>
            <c:spPr>
              <a:solidFill>
                <a:srgbClr val="00B050"/>
              </a:solidFill>
            </c:spPr>
          </c:dPt>
          <c:dPt>
            <c:idx val="5"/>
            <c:bubble3D val="0"/>
            <c:spPr>
              <a:solidFill>
                <a:srgbClr val="C00000"/>
              </a:solidFill>
            </c:spPr>
          </c:dPt>
          <c:dPt>
            <c:idx val="7"/>
            <c:bubble3D val="0"/>
            <c:spPr>
              <a:solidFill>
                <a:schemeClr val="accent2">
                  <a:lumMod val="60000"/>
                  <a:lumOff val="40000"/>
                </a:schemeClr>
              </a:solidFill>
            </c:spPr>
          </c:dPt>
          <c:cat>
            <c:strRef>
              <c:f>Hárok2!$N$138:$N$145</c:f>
              <c:strCache>
                <c:ptCount val="8"/>
                <c:pt idx="0">
                  <c:v>SvF</c:v>
                </c:pt>
                <c:pt idx="1">
                  <c:v>SjF</c:v>
                </c:pt>
                <c:pt idx="2">
                  <c:v>FEI</c:v>
                </c:pt>
                <c:pt idx="3">
                  <c:v>FCHPT</c:v>
                </c:pt>
                <c:pt idx="4">
                  <c:v>FA</c:v>
                </c:pt>
                <c:pt idx="5">
                  <c:v>MTF</c:v>
                </c:pt>
                <c:pt idx="6">
                  <c:v>FIIT</c:v>
                </c:pt>
                <c:pt idx="7">
                  <c:v>ÚM</c:v>
                </c:pt>
              </c:strCache>
            </c:strRef>
          </c:cat>
          <c:val>
            <c:numRef>
              <c:f>Hárok2!$O$138:$O$145</c:f>
              <c:numCache>
                <c:formatCode>General</c:formatCode>
                <c:ptCount val="8"/>
                <c:pt idx="0">
                  <c:v>82139.55</c:v>
                </c:pt>
                <c:pt idx="1">
                  <c:v>13886.17</c:v>
                </c:pt>
                <c:pt idx="2">
                  <c:v>568518.35000000044</c:v>
                </c:pt>
                <c:pt idx="3">
                  <c:v>356004.07</c:v>
                </c:pt>
                <c:pt idx="4">
                  <c:v>45691.68</c:v>
                </c:pt>
                <c:pt idx="5">
                  <c:v>4049</c:v>
                </c:pt>
                <c:pt idx="6">
                  <c:v>0</c:v>
                </c:pt>
                <c:pt idx="7">
                  <c:v>99138.209999999992</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cat>
            <c:strRef>
              <c:f>Hárok2!$J$78:$J$85</c:f>
              <c:strCache>
                <c:ptCount val="8"/>
                <c:pt idx="0">
                  <c:v>SvF</c:v>
                </c:pt>
                <c:pt idx="1">
                  <c:v>SjF</c:v>
                </c:pt>
                <c:pt idx="2">
                  <c:v>FEI</c:v>
                </c:pt>
                <c:pt idx="3">
                  <c:v>FCHPT</c:v>
                </c:pt>
                <c:pt idx="4">
                  <c:v>FA</c:v>
                </c:pt>
                <c:pt idx="5">
                  <c:v>MTF</c:v>
                </c:pt>
                <c:pt idx="6">
                  <c:v>FIIT</c:v>
                </c:pt>
                <c:pt idx="7">
                  <c:v>UM+R</c:v>
                </c:pt>
              </c:strCache>
            </c:strRef>
          </c:cat>
          <c:val>
            <c:numRef>
              <c:f>Hárok2!$K$78:$K$85</c:f>
              <c:numCache>
                <c:formatCode>General</c:formatCode>
                <c:ptCount val="8"/>
                <c:pt idx="0">
                  <c:v>110.20715109365435</c:v>
                </c:pt>
                <c:pt idx="1">
                  <c:v>-906.32263299404576</c:v>
                </c:pt>
                <c:pt idx="2">
                  <c:v>1441.7150794769702</c:v>
                </c:pt>
                <c:pt idx="3">
                  <c:v>2228.2625554484098</c:v>
                </c:pt>
                <c:pt idx="4">
                  <c:v>-2482.7062495174837</c:v>
                </c:pt>
                <c:pt idx="5">
                  <c:v>-1801.5025384257101</c:v>
                </c:pt>
                <c:pt idx="6">
                  <c:v>-644.33163353500299</c:v>
                </c:pt>
                <c:pt idx="7">
                  <c:v>-3082.1549518261259</c:v>
                </c:pt>
              </c:numCache>
            </c:numRef>
          </c:val>
        </c:ser>
        <c:dLbls>
          <c:showLegendKey val="0"/>
          <c:showVal val="0"/>
          <c:showCatName val="0"/>
          <c:showSerName val="0"/>
          <c:showPercent val="0"/>
          <c:showBubbleSize val="0"/>
        </c:dLbls>
        <c:gapWidth val="150"/>
        <c:axId val="76629120"/>
        <c:axId val="76630656"/>
      </c:barChart>
      <c:catAx>
        <c:axId val="76629120"/>
        <c:scaling>
          <c:orientation val="minMax"/>
        </c:scaling>
        <c:delete val="0"/>
        <c:axPos val="b"/>
        <c:majorTickMark val="out"/>
        <c:minorTickMark val="none"/>
        <c:tickLblPos val="nextTo"/>
        <c:crossAx val="76630656"/>
        <c:crosses val="autoZero"/>
        <c:auto val="1"/>
        <c:lblAlgn val="ctr"/>
        <c:lblOffset val="100"/>
        <c:noMultiLvlLbl val="0"/>
      </c:catAx>
      <c:valAx>
        <c:axId val="76630656"/>
        <c:scaling>
          <c:orientation val="minMax"/>
        </c:scaling>
        <c:delete val="0"/>
        <c:axPos val="l"/>
        <c:majorGridlines/>
        <c:numFmt formatCode="General" sourceLinked="1"/>
        <c:majorTickMark val="out"/>
        <c:minorTickMark val="none"/>
        <c:tickLblPos val="nextTo"/>
        <c:crossAx val="76629120"/>
        <c:crosses val="autoZero"/>
        <c:crossBetween val="between"/>
      </c:valAx>
    </c:plotArea>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2"/>
            <c:invertIfNegative val="0"/>
            <c:bubble3D val="0"/>
            <c:spPr>
              <a:solidFill>
                <a:srgbClr val="00B050"/>
              </a:solidFill>
            </c:spPr>
          </c:dPt>
          <c:dPt>
            <c:idx val="3"/>
            <c:invertIfNegative val="0"/>
            <c:bubble3D val="0"/>
            <c:spPr>
              <a:solidFill>
                <a:srgbClr val="00B050"/>
              </a:solidFill>
            </c:spPr>
          </c:dPt>
          <c:dPt>
            <c:idx val="7"/>
            <c:invertIfNegative val="0"/>
            <c:bubble3D val="0"/>
            <c:spPr>
              <a:solidFill>
                <a:srgbClr val="00B050"/>
              </a:solidFill>
            </c:spPr>
          </c:dPt>
          <c:cat>
            <c:strRef>
              <c:f>Hárok2!$I$132:$I$139</c:f>
              <c:strCache>
                <c:ptCount val="8"/>
                <c:pt idx="0">
                  <c:v>SvF</c:v>
                </c:pt>
                <c:pt idx="1">
                  <c:v>SjF</c:v>
                </c:pt>
                <c:pt idx="2">
                  <c:v>FEI</c:v>
                </c:pt>
                <c:pt idx="3">
                  <c:v>FCHPT</c:v>
                </c:pt>
                <c:pt idx="4">
                  <c:v>FA</c:v>
                </c:pt>
                <c:pt idx="5">
                  <c:v>MTF</c:v>
                </c:pt>
                <c:pt idx="6">
                  <c:v>FIIT</c:v>
                </c:pt>
                <c:pt idx="7">
                  <c:v>ÚM</c:v>
                </c:pt>
              </c:strCache>
            </c:strRef>
          </c:cat>
          <c:val>
            <c:numRef>
              <c:f>Hárok2!$J$132:$J$139</c:f>
              <c:numCache>
                <c:formatCode>General</c:formatCode>
                <c:ptCount val="8"/>
                <c:pt idx="0">
                  <c:v>-532.31228784548159</c:v>
                </c:pt>
                <c:pt idx="1">
                  <c:v>-739.40575507329868</c:v>
                </c:pt>
                <c:pt idx="2">
                  <c:v>1175.4301307581154</c:v>
                </c:pt>
                <c:pt idx="3">
                  <c:v>544.90759884281488</c:v>
                </c:pt>
                <c:pt idx="4">
                  <c:v>-475.55021230602944</c:v>
                </c:pt>
                <c:pt idx="5">
                  <c:v>-809.44112715416748</c:v>
                </c:pt>
                <c:pt idx="6">
                  <c:v>-828.3</c:v>
                </c:pt>
                <c:pt idx="7">
                  <c:v>1393.0356486668159</c:v>
                </c:pt>
              </c:numCache>
            </c:numRef>
          </c:val>
        </c:ser>
        <c:dLbls>
          <c:showLegendKey val="0"/>
          <c:showVal val="0"/>
          <c:showCatName val="0"/>
          <c:showSerName val="0"/>
          <c:showPercent val="0"/>
          <c:showBubbleSize val="0"/>
        </c:dLbls>
        <c:gapWidth val="150"/>
        <c:axId val="76647424"/>
        <c:axId val="76649216"/>
      </c:barChart>
      <c:catAx>
        <c:axId val="76647424"/>
        <c:scaling>
          <c:orientation val="minMax"/>
        </c:scaling>
        <c:delete val="0"/>
        <c:axPos val="b"/>
        <c:majorTickMark val="out"/>
        <c:minorTickMark val="none"/>
        <c:tickLblPos val="nextTo"/>
        <c:crossAx val="76649216"/>
        <c:crosses val="autoZero"/>
        <c:auto val="1"/>
        <c:lblAlgn val="ctr"/>
        <c:lblOffset val="100"/>
        <c:noMultiLvlLbl val="0"/>
      </c:catAx>
      <c:valAx>
        <c:axId val="76649216"/>
        <c:scaling>
          <c:orientation val="minMax"/>
        </c:scaling>
        <c:delete val="0"/>
        <c:axPos val="l"/>
        <c:majorGridlines/>
        <c:numFmt formatCode="General" sourceLinked="1"/>
        <c:majorTickMark val="out"/>
        <c:minorTickMark val="none"/>
        <c:tickLblPos val="nextTo"/>
        <c:crossAx val="76647424"/>
        <c:crosses val="autoZero"/>
        <c:crossBetween val="between"/>
      </c:valAx>
    </c:plotArea>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Hárok2!$C$309</c:f>
              <c:strCache>
                <c:ptCount val="1"/>
                <c:pt idx="0">
                  <c:v>VEGA</c:v>
                </c:pt>
              </c:strCache>
            </c:strRef>
          </c:tx>
          <c:invertIfNegative val="0"/>
          <c:cat>
            <c:numRef>
              <c:f>Hárok2!$D$308:$G$308</c:f>
              <c:numCache>
                <c:formatCode>General</c:formatCode>
                <c:ptCount val="4"/>
                <c:pt idx="0">
                  <c:v>2011</c:v>
                </c:pt>
                <c:pt idx="1">
                  <c:v>2012</c:v>
                </c:pt>
                <c:pt idx="2">
                  <c:v>2013</c:v>
                </c:pt>
                <c:pt idx="3">
                  <c:v>2014</c:v>
                </c:pt>
              </c:numCache>
            </c:numRef>
          </c:cat>
          <c:val>
            <c:numRef>
              <c:f>Hárok2!$D$309:$G$309</c:f>
              <c:numCache>
                <c:formatCode>#,##0_ ;\-#,##0\ </c:formatCode>
                <c:ptCount val="4"/>
                <c:pt idx="0">
                  <c:v>2085437</c:v>
                </c:pt>
                <c:pt idx="1">
                  <c:v>1988619</c:v>
                </c:pt>
                <c:pt idx="2">
                  <c:v>1906283</c:v>
                </c:pt>
                <c:pt idx="3">
                  <c:v>1823093</c:v>
                </c:pt>
              </c:numCache>
            </c:numRef>
          </c:val>
        </c:ser>
        <c:ser>
          <c:idx val="1"/>
          <c:order val="1"/>
          <c:tx>
            <c:strRef>
              <c:f>Hárok2!$C$310</c:f>
              <c:strCache>
                <c:ptCount val="1"/>
                <c:pt idx="0">
                  <c:v>APVV</c:v>
                </c:pt>
              </c:strCache>
            </c:strRef>
          </c:tx>
          <c:invertIfNegative val="0"/>
          <c:cat>
            <c:numRef>
              <c:f>Hárok2!$D$308:$G$308</c:f>
              <c:numCache>
                <c:formatCode>General</c:formatCode>
                <c:ptCount val="4"/>
                <c:pt idx="0">
                  <c:v>2011</c:v>
                </c:pt>
                <c:pt idx="1">
                  <c:v>2012</c:v>
                </c:pt>
                <c:pt idx="2">
                  <c:v>2013</c:v>
                </c:pt>
                <c:pt idx="3">
                  <c:v>2014</c:v>
                </c:pt>
              </c:numCache>
            </c:numRef>
          </c:cat>
          <c:val>
            <c:numRef>
              <c:f>Hárok2!$D$310:$G$310</c:f>
              <c:numCache>
                <c:formatCode>#,##0_ ;\-#,##0\ </c:formatCode>
                <c:ptCount val="4"/>
                <c:pt idx="0">
                  <c:v>1808972.11</c:v>
                </c:pt>
                <c:pt idx="1">
                  <c:v>2958827.1399999997</c:v>
                </c:pt>
                <c:pt idx="2">
                  <c:v>3492285.88</c:v>
                </c:pt>
                <c:pt idx="3">
                  <c:v>3300260.6199999987</c:v>
                </c:pt>
              </c:numCache>
            </c:numRef>
          </c:val>
        </c:ser>
        <c:dLbls>
          <c:showLegendKey val="0"/>
          <c:showVal val="0"/>
          <c:showCatName val="0"/>
          <c:showSerName val="0"/>
          <c:showPercent val="0"/>
          <c:showBubbleSize val="0"/>
        </c:dLbls>
        <c:gapWidth val="150"/>
        <c:shape val="cylinder"/>
        <c:axId val="103154816"/>
        <c:axId val="103156352"/>
        <c:axId val="0"/>
      </c:bar3DChart>
      <c:catAx>
        <c:axId val="103154816"/>
        <c:scaling>
          <c:orientation val="minMax"/>
        </c:scaling>
        <c:delete val="0"/>
        <c:axPos val="b"/>
        <c:numFmt formatCode="General" sourceLinked="1"/>
        <c:majorTickMark val="none"/>
        <c:minorTickMark val="none"/>
        <c:tickLblPos val="nextTo"/>
        <c:crossAx val="103156352"/>
        <c:crosses val="autoZero"/>
        <c:auto val="1"/>
        <c:lblAlgn val="ctr"/>
        <c:lblOffset val="100"/>
        <c:noMultiLvlLbl val="0"/>
      </c:catAx>
      <c:valAx>
        <c:axId val="103156352"/>
        <c:scaling>
          <c:orientation val="minMax"/>
        </c:scaling>
        <c:delete val="0"/>
        <c:axPos val="l"/>
        <c:majorGridlines/>
        <c:numFmt formatCode="#,##0_ ;\-#,##0\ " sourceLinked="1"/>
        <c:majorTickMark val="none"/>
        <c:minorTickMark val="none"/>
        <c:tickLblPos val="nextTo"/>
        <c:crossAx val="10315481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967315406328944E-2"/>
          <c:y val="9.6093928697784256E-2"/>
          <c:w val="0.88532391654258091"/>
          <c:h val="0.70583664502752208"/>
        </c:manualLayout>
      </c:layout>
      <c:lineChart>
        <c:grouping val="standard"/>
        <c:varyColors val="0"/>
        <c:ser>
          <c:idx val="0"/>
          <c:order val="0"/>
          <c:tx>
            <c:strRef>
              <c:f>Tab4a_štud_VŠ!$A$23</c:f>
              <c:strCache>
                <c:ptCount val="1"/>
                <c:pt idx="0">
                  <c:v>I. stupeň</c:v>
                </c:pt>
              </c:strCache>
            </c:strRef>
          </c:tx>
          <c:spPr>
            <a:ln w="38100"/>
          </c:spPr>
          <c:marker>
            <c:symbol val="none"/>
          </c:marker>
          <c:dLbls>
            <c:dLbl>
              <c:idx val="1"/>
              <c:layout>
                <c:manualLayout>
                  <c:x val="-5.4156660949113956E-2"/>
                  <c:y val="-4.4785624367487065E-2"/>
                </c:manualLayout>
              </c:layout>
              <c:dLblPos val="r"/>
              <c:showLegendKey val="0"/>
              <c:showVal val="1"/>
              <c:showCatName val="0"/>
              <c:showSerName val="0"/>
              <c:showPercent val="0"/>
              <c:showBubbleSize val="0"/>
            </c:dLbl>
            <c:dLbl>
              <c:idx val="2"/>
              <c:layout>
                <c:manualLayout>
                  <c:x val="-5.4156660949113956E-2"/>
                  <c:y val="-3.224643941450895E-2"/>
                </c:manualLayout>
              </c:layout>
              <c:dLblPos val="r"/>
              <c:showLegendKey val="0"/>
              <c:showVal val="1"/>
              <c:showCatName val="0"/>
              <c:showSerName val="0"/>
              <c:showPercent val="0"/>
              <c:showBubbleSize val="0"/>
            </c:dLbl>
            <c:dLbl>
              <c:idx val="3"/>
              <c:layout>
                <c:manualLayout>
                  <c:x val="-5.1869639794168101E-2"/>
                  <c:y val="-4.06058960498276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Tab4a_štud_VŠ!$B$22:$F$22</c:f>
              <c:strCache>
                <c:ptCount val="5"/>
                <c:pt idx="0">
                  <c:v>2009/2010</c:v>
                </c:pt>
                <c:pt idx="1">
                  <c:v>2010/2011</c:v>
                </c:pt>
                <c:pt idx="2">
                  <c:v>2011/2012</c:v>
                </c:pt>
                <c:pt idx="3">
                  <c:v>2012/2013</c:v>
                </c:pt>
                <c:pt idx="4">
                  <c:v>2013/2014</c:v>
                </c:pt>
              </c:strCache>
            </c:strRef>
          </c:cat>
          <c:val>
            <c:numRef>
              <c:f>Tab4a_štud_VŠ!$B$23:$F$23</c:f>
              <c:numCache>
                <c:formatCode>#,##0</c:formatCode>
                <c:ptCount val="5"/>
                <c:pt idx="0">
                  <c:v>11405</c:v>
                </c:pt>
                <c:pt idx="1">
                  <c:v>10975</c:v>
                </c:pt>
                <c:pt idx="2">
                  <c:v>10825</c:v>
                </c:pt>
                <c:pt idx="3">
                  <c:v>10883</c:v>
                </c:pt>
                <c:pt idx="4">
                  <c:v>10619</c:v>
                </c:pt>
              </c:numCache>
            </c:numRef>
          </c:val>
          <c:smooth val="0"/>
        </c:ser>
        <c:ser>
          <c:idx val="1"/>
          <c:order val="1"/>
          <c:tx>
            <c:strRef>
              <c:f>Tab4a_štud_VŠ!$A$24</c:f>
              <c:strCache>
                <c:ptCount val="1"/>
                <c:pt idx="0">
                  <c:v>II. stupeň</c:v>
                </c:pt>
              </c:strCache>
            </c:strRef>
          </c:tx>
          <c:spPr>
            <a:ln w="38100"/>
          </c:spPr>
          <c:marker>
            <c:symbol val="none"/>
          </c:marker>
          <c:dLbls>
            <c:dLblPos val="t"/>
            <c:showLegendKey val="0"/>
            <c:showVal val="1"/>
            <c:showCatName val="0"/>
            <c:showSerName val="0"/>
            <c:showPercent val="0"/>
            <c:showBubbleSize val="0"/>
            <c:showLeaderLines val="0"/>
          </c:dLbls>
          <c:cat>
            <c:strRef>
              <c:f>Tab4a_štud_VŠ!$B$22:$F$22</c:f>
              <c:strCache>
                <c:ptCount val="5"/>
                <c:pt idx="0">
                  <c:v>2009/2010</c:v>
                </c:pt>
                <c:pt idx="1">
                  <c:v>2010/2011</c:v>
                </c:pt>
                <c:pt idx="2">
                  <c:v>2011/2012</c:v>
                </c:pt>
                <c:pt idx="3">
                  <c:v>2012/2013</c:v>
                </c:pt>
                <c:pt idx="4">
                  <c:v>2013/2014</c:v>
                </c:pt>
              </c:strCache>
            </c:strRef>
          </c:cat>
          <c:val>
            <c:numRef>
              <c:f>Tab4a_štud_VŠ!$B$24:$F$24</c:f>
              <c:numCache>
                <c:formatCode>#,##0</c:formatCode>
                <c:ptCount val="5"/>
                <c:pt idx="0">
                  <c:v>5235</c:v>
                </c:pt>
                <c:pt idx="1">
                  <c:v>5427</c:v>
                </c:pt>
                <c:pt idx="2">
                  <c:v>5220</c:v>
                </c:pt>
                <c:pt idx="3">
                  <c:v>4640</c:v>
                </c:pt>
                <c:pt idx="4">
                  <c:v>4419</c:v>
                </c:pt>
              </c:numCache>
            </c:numRef>
          </c:val>
          <c:smooth val="0"/>
        </c:ser>
        <c:ser>
          <c:idx val="2"/>
          <c:order val="2"/>
          <c:tx>
            <c:strRef>
              <c:f>Tab4a_štud_VŠ!$A$25</c:f>
              <c:strCache>
                <c:ptCount val="1"/>
                <c:pt idx="0">
                  <c:v>III. stupeň</c:v>
                </c:pt>
              </c:strCache>
            </c:strRef>
          </c:tx>
          <c:spPr>
            <a:ln w="38100"/>
          </c:spPr>
          <c:marker>
            <c:symbol val="none"/>
          </c:marker>
          <c:dLbls>
            <c:dLblPos val="t"/>
            <c:showLegendKey val="0"/>
            <c:showVal val="1"/>
            <c:showCatName val="0"/>
            <c:showSerName val="0"/>
            <c:showPercent val="0"/>
            <c:showBubbleSize val="0"/>
            <c:showLeaderLines val="0"/>
          </c:dLbls>
          <c:cat>
            <c:strRef>
              <c:f>Tab4a_štud_VŠ!$B$22:$F$22</c:f>
              <c:strCache>
                <c:ptCount val="5"/>
                <c:pt idx="0">
                  <c:v>2009/2010</c:v>
                </c:pt>
                <c:pt idx="1">
                  <c:v>2010/2011</c:v>
                </c:pt>
                <c:pt idx="2">
                  <c:v>2011/2012</c:v>
                </c:pt>
                <c:pt idx="3">
                  <c:v>2012/2013</c:v>
                </c:pt>
                <c:pt idx="4">
                  <c:v>2013/2014</c:v>
                </c:pt>
              </c:strCache>
            </c:strRef>
          </c:cat>
          <c:val>
            <c:numRef>
              <c:f>Tab4a_štud_VŠ!$B$25:$F$25</c:f>
              <c:numCache>
                <c:formatCode>#,##0</c:formatCode>
                <c:ptCount val="5"/>
                <c:pt idx="0">
                  <c:v>1613</c:v>
                </c:pt>
                <c:pt idx="1">
                  <c:v>1740</c:v>
                </c:pt>
                <c:pt idx="2">
                  <c:v>1691</c:v>
                </c:pt>
                <c:pt idx="3">
                  <c:v>1536</c:v>
                </c:pt>
                <c:pt idx="4">
                  <c:v>1364</c:v>
                </c:pt>
              </c:numCache>
            </c:numRef>
          </c:val>
          <c:smooth val="0"/>
        </c:ser>
        <c:dLbls>
          <c:showLegendKey val="0"/>
          <c:showVal val="1"/>
          <c:showCatName val="0"/>
          <c:showSerName val="0"/>
          <c:showPercent val="0"/>
          <c:showBubbleSize val="0"/>
        </c:dLbls>
        <c:marker val="1"/>
        <c:smooth val="0"/>
        <c:axId val="105809408"/>
        <c:axId val="105810944"/>
      </c:lineChart>
      <c:catAx>
        <c:axId val="105809408"/>
        <c:scaling>
          <c:orientation val="minMax"/>
        </c:scaling>
        <c:delete val="0"/>
        <c:axPos val="b"/>
        <c:majorTickMark val="out"/>
        <c:minorTickMark val="none"/>
        <c:tickLblPos val="nextTo"/>
        <c:crossAx val="105810944"/>
        <c:crosses val="autoZero"/>
        <c:auto val="1"/>
        <c:lblAlgn val="ctr"/>
        <c:lblOffset val="100"/>
        <c:noMultiLvlLbl val="0"/>
      </c:catAx>
      <c:valAx>
        <c:axId val="105810944"/>
        <c:scaling>
          <c:orientation val="minMax"/>
        </c:scaling>
        <c:delete val="0"/>
        <c:axPos val="l"/>
        <c:majorGridlines/>
        <c:numFmt formatCode="#,##0" sourceLinked="1"/>
        <c:majorTickMark val="out"/>
        <c:minorTickMark val="none"/>
        <c:tickLblPos val="nextTo"/>
        <c:crossAx val="105809408"/>
        <c:crosses val="autoZero"/>
        <c:crossBetween val="between"/>
      </c:valAx>
    </c:plotArea>
    <c:legend>
      <c:legendPos val="b"/>
      <c:overlay val="0"/>
    </c:legend>
    <c:plotVisOnly val="1"/>
    <c:dispBlanksAs val="gap"/>
    <c:showDLblsOverMax val="0"/>
  </c:chart>
  <c:spPr>
    <a:noFill/>
    <a:ln>
      <a:noFill/>
    </a:ln>
  </c:spPr>
  <c:txPr>
    <a:bodyPr/>
    <a:lstStyle/>
    <a:p>
      <a:pPr>
        <a:defRPr sz="1000">
          <a:latin typeface="+mj-lt"/>
        </a:defRPr>
      </a:pPr>
      <a:endParaRPr lang="sk-SK"/>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Hárok2!$C$318</c:f>
              <c:strCache>
                <c:ptCount val="1"/>
                <c:pt idx="0">
                  <c:v>2011</c:v>
                </c:pt>
              </c:strCache>
            </c:strRef>
          </c:tx>
          <c:invertIfNegative val="0"/>
          <c:cat>
            <c:strRef>
              <c:f>Hárok2!$B$319:$B$327</c:f>
              <c:strCache>
                <c:ptCount val="9"/>
                <c:pt idx="0">
                  <c:v>SvF</c:v>
                </c:pt>
                <c:pt idx="1">
                  <c:v>SjF</c:v>
                </c:pt>
                <c:pt idx="2">
                  <c:v>FEI</c:v>
                </c:pt>
                <c:pt idx="3">
                  <c:v>FChPT</c:v>
                </c:pt>
                <c:pt idx="4">
                  <c:v>FA</c:v>
                </c:pt>
                <c:pt idx="5">
                  <c:v>MTF</c:v>
                </c:pt>
                <c:pt idx="6">
                  <c:v>FIIT</c:v>
                </c:pt>
                <c:pt idx="7">
                  <c:v>ÚM</c:v>
                </c:pt>
                <c:pt idx="8">
                  <c:v>R STU</c:v>
                </c:pt>
              </c:strCache>
            </c:strRef>
          </c:cat>
          <c:val>
            <c:numRef>
              <c:f>Hárok2!$C$319:$C$327</c:f>
              <c:numCache>
                <c:formatCode>#,##0_ ;\-#,##0\ </c:formatCode>
                <c:ptCount val="9"/>
                <c:pt idx="0">
                  <c:v>872892.63</c:v>
                </c:pt>
                <c:pt idx="1">
                  <c:v>368490.85</c:v>
                </c:pt>
                <c:pt idx="2">
                  <c:v>1322893.57</c:v>
                </c:pt>
                <c:pt idx="3">
                  <c:v>891911.38</c:v>
                </c:pt>
                <c:pt idx="4">
                  <c:v>7677</c:v>
                </c:pt>
                <c:pt idx="5">
                  <c:v>215235.68</c:v>
                </c:pt>
                <c:pt idx="6">
                  <c:v>124295</c:v>
                </c:pt>
                <c:pt idx="7">
                  <c:v>15513</c:v>
                </c:pt>
                <c:pt idx="8">
                  <c:v>75500</c:v>
                </c:pt>
              </c:numCache>
            </c:numRef>
          </c:val>
        </c:ser>
        <c:ser>
          <c:idx val="1"/>
          <c:order val="1"/>
          <c:tx>
            <c:strRef>
              <c:f>Hárok2!$D$318</c:f>
              <c:strCache>
                <c:ptCount val="1"/>
                <c:pt idx="0">
                  <c:v>2012</c:v>
                </c:pt>
              </c:strCache>
            </c:strRef>
          </c:tx>
          <c:invertIfNegative val="0"/>
          <c:cat>
            <c:strRef>
              <c:f>Hárok2!$B$319:$B$327</c:f>
              <c:strCache>
                <c:ptCount val="9"/>
                <c:pt idx="0">
                  <c:v>SvF</c:v>
                </c:pt>
                <c:pt idx="1">
                  <c:v>SjF</c:v>
                </c:pt>
                <c:pt idx="2">
                  <c:v>FEI</c:v>
                </c:pt>
                <c:pt idx="3">
                  <c:v>FChPT</c:v>
                </c:pt>
                <c:pt idx="4">
                  <c:v>FA</c:v>
                </c:pt>
                <c:pt idx="5">
                  <c:v>MTF</c:v>
                </c:pt>
                <c:pt idx="6">
                  <c:v>FIIT</c:v>
                </c:pt>
                <c:pt idx="7">
                  <c:v>ÚM</c:v>
                </c:pt>
                <c:pt idx="8">
                  <c:v>R STU</c:v>
                </c:pt>
              </c:strCache>
            </c:strRef>
          </c:cat>
          <c:val>
            <c:numRef>
              <c:f>Hárok2!$D$319:$D$327</c:f>
              <c:numCache>
                <c:formatCode>#,##0_ ;\-#,##0\ </c:formatCode>
                <c:ptCount val="9"/>
                <c:pt idx="0">
                  <c:v>1087912.58</c:v>
                </c:pt>
                <c:pt idx="1">
                  <c:v>358809.49000000022</c:v>
                </c:pt>
                <c:pt idx="2">
                  <c:v>1500149.5</c:v>
                </c:pt>
                <c:pt idx="3">
                  <c:v>1359605.94</c:v>
                </c:pt>
                <c:pt idx="4">
                  <c:v>55212</c:v>
                </c:pt>
                <c:pt idx="5">
                  <c:v>292769</c:v>
                </c:pt>
                <c:pt idx="6">
                  <c:v>171515.63</c:v>
                </c:pt>
                <c:pt idx="7">
                  <c:v>25972</c:v>
                </c:pt>
                <c:pt idx="8">
                  <c:v>95500</c:v>
                </c:pt>
              </c:numCache>
            </c:numRef>
          </c:val>
        </c:ser>
        <c:ser>
          <c:idx val="2"/>
          <c:order val="2"/>
          <c:tx>
            <c:strRef>
              <c:f>Hárok2!$E$318</c:f>
              <c:strCache>
                <c:ptCount val="1"/>
                <c:pt idx="0">
                  <c:v>2013</c:v>
                </c:pt>
              </c:strCache>
            </c:strRef>
          </c:tx>
          <c:invertIfNegative val="0"/>
          <c:cat>
            <c:strRef>
              <c:f>Hárok2!$B$319:$B$327</c:f>
              <c:strCache>
                <c:ptCount val="9"/>
                <c:pt idx="0">
                  <c:v>SvF</c:v>
                </c:pt>
                <c:pt idx="1">
                  <c:v>SjF</c:v>
                </c:pt>
                <c:pt idx="2">
                  <c:v>FEI</c:v>
                </c:pt>
                <c:pt idx="3">
                  <c:v>FChPT</c:v>
                </c:pt>
                <c:pt idx="4">
                  <c:v>FA</c:v>
                </c:pt>
                <c:pt idx="5">
                  <c:v>MTF</c:v>
                </c:pt>
                <c:pt idx="6">
                  <c:v>FIIT</c:v>
                </c:pt>
                <c:pt idx="7">
                  <c:v>ÚM</c:v>
                </c:pt>
                <c:pt idx="8">
                  <c:v>R STU</c:v>
                </c:pt>
              </c:strCache>
            </c:strRef>
          </c:cat>
          <c:val>
            <c:numRef>
              <c:f>Hárok2!$E$319:$E$327</c:f>
              <c:numCache>
                <c:formatCode>#,##0_ ;\-#,##0\ </c:formatCode>
                <c:ptCount val="9"/>
                <c:pt idx="0">
                  <c:v>1087873</c:v>
                </c:pt>
                <c:pt idx="1">
                  <c:v>317611</c:v>
                </c:pt>
                <c:pt idx="2">
                  <c:v>1694113</c:v>
                </c:pt>
                <c:pt idx="3">
                  <c:v>1501070.72</c:v>
                </c:pt>
                <c:pt idx="4">
                  <c:v>105323</c:v>
                </c:pt>
                <c:pt idx="5">
                  <c:v>305725.16000000003</c:v>
                </c:pt>
                <c:pt idx="6">
                  <c:v>132303</c:v>
                </c:pt>
                <c:pt idx="7">
                  <c:v>23050</c:v>
                </c:pt>
                <c:pt idx="8">
                  <c:v>231500</c:v>
                </c:pt>
              </c:numCache>
            </c:numRef>
          </c:val>
        </c:ser>
        <c:ser>
          <c:idx val="3"/>
          <c:order val="3"/>
          <c:tx>
            <c:strRef>
              <c:f>Hárok2!$F$318</c:f>
              <c:strCache>
                <c:ptCount val="1"/>
                <c:pt idx="0">
                  <c:v>2014</c:v>
                </c:pt>
              </c:strCache>
            </c:strRef>
          </c:tx>
          <c:invertIfNegative val="0"/>
          <c:cat>
            <c:strRef>
              <c:f>Hárok2!$B$319:$B$327</c:f>
              <c:strCache>
                <c:ptCount val="9"/>
                <c:pt idx="0">
                  <c:v>SvF</c:v>
                </c:pt>
                <c:pt idx="1">
                  <c:v>SjF</c:v>
                </c:pt>
                <c:pt idx="2">
                  <c:v>FEI</c:v>
                </c:pt>
                <c:pt idx="3">
                  <c:v>FChPT</c:v>
                </c:pt>
                <c:pt idx="4">
                  <c:v>FA</c:v>
                </c:pt>
                <c:pt idx="5">
                  <c:v>MTF</c:v>
                </c:pt>
                <c:pt idx="6">
                  <c:v>FIIT</c:v>
                </c:pt>
                <c:pt idx="7">
                  <c:v>ÚM</c:v>
                </c:pt>
                <c:pt idx="8">
                  <c:v>R STU</c:v>
                </c:pt>
              </c:strCache>
            </c:strRef>
          </c:cat>
          <c:val>
            <c:numRef>
              <c:f>Hárok2!$F$319:$F$327</c:f>
              <c:numCache>
                <c:formatCode>#,##0_ ;\-#,##0\ </c:formatCode>
                <c:ptCount val="9"/>
                <c:pt idx="0">
                  <c:v>1037625.75</c:v>
                </c:pt>
                <c:pt idx="1">
                  <c:v>425286</c:v>
                </c:pt>
                <c:pt idx="2">
                  <c:v>1438671.43</c:v>
                </c:pt>
                <c:pt idx="3">
                  <c:v>1518456.4300000002</c:v>
                </c:pt>
                <c:pt idx="4">
                  <c:v>148460</c:v>
                </c:pt>
                <c:pt idx="5">
                  <c:v>392331.5</c:v>
                </c:pt>
                <c:pt idx="6">
                  <c:v>138123.51</c:v>
                </c:pt>
                <c:pt idx="7">
                  <c:v>24399</c:v>
                </c:pt>
                <c:pt idx="8">
                  <c:v>0</c:v>
                </c:pt>
              </c:numCache>
            </c:numRef>
          </c:val>
        </c:ser>
        <c:dLbls>
          <c:showLegendKey val="0"/>
          <c:showVal val="0"/>
          <c:showCatName val="0"/>
          <c:showSerName val="0"/>
          <c:showPercent val="0"/>
          <c:showBubbleSize val="0"/>
        </c:dLbls>
        <c:gapWidth val="150"/>
        <c:shape val="cylinder"/>
        <c:axId val="102941824"/>
        <c:axId val="102943360"/>
        <c:axId val="0"/>
      </c:bar3DChart>
      <c:catAx>
        <c:axId val="102941824"/>
        <c:scaling>
          <c:orientation val="minMax"/>
        </c:scaling>
        <c:delete val="0"/>
        <c:axPos val="b"/>
        <c:majorTickMark val="none"/>
        <c:minorTickMark val="none"/>
        <c:tickLblPos val="nextTo"/>
        <c:crossAx val="102943360"/>
        <c:crosses val="autoZero"/>
        <c:auto val="1"/>
        <c:lblAlgn val="ctr"/>
        <c:lblOffset val="100"/>
        <c:noMultiLvlLbl val="0"/>
      </c:catAx>
      <c:valAx>
        <c:axId val="102943360"/>
        <c:scaling>
          <c:orientation val="minMax"/>
        </c:scaling>
        <c:delete val="0"/>
        <c:axPos val="l"/>
        <c:majorGridlines/>
        <c:numFmt formatCode="#,##0_ ;\-#,##0\ " sourceLinked="1"/>
        <c:majorTickMark val="none"/>
        <c:minorTickMark val="none"/>
        <c:tickLblPos val="nextTo"/>
        <c:crossAx val="10294182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Hárok2!$D$353:$G$353</c:f>
              <c:numCache>
                <c:formatCode>General</c:formatCode>
                <c:ptCount val="4"/>
                <c:pt idx="0">
                  <c:v>2011</c:v>
                </c:pt>
                <c:pt idx="1">
                  <c:v>2012</c:v>
                </c:pt>
                <c:pt idx="2">
                  <c:v>2013</c:v>
                </c:pt>
                <c:pt idx="3">
                  <c:v>2014</c:v>
                </c:pt>
              </c:numCache>
            </c:numRef>
          </c:cat>
          <c:val>
            <c:numRef>
              <c:f>Hárok2!$D$354:$G$354</c:f>
              <c:numCache>
                <c:formatCode>0</c:formatCode>
                <c:ptCount val="4"/>
                <c:pt idx="0">
                  <c:v>3083044.5899999994</c:v>
                </c:pt>
                <c:pt idx="1">
                  <c:v>616865.35000000044</c:v>
                </c:pt>
                <c:pt idx="2">
                  <c:v>1283744.04</c:v>
                </c:pt>
                <c:pt idx="3">
                  <c:v>1169427.03</c:v>
                </c:pt>
              </c:numCache>
            </c:numRef>
          </c:val>
        </c:ser>
        <c:dLbls>
          <c:showLegendKey val="0"/>
          <c:showVal val="0"/>
          <c:showCatName val="0"/>
          <c:showSerName val="0"/>
          <c:showPercent val="0"/>
          <c:showBubbleSize val="0"/>
        </c:dLbls>
        <c:gapWidth val="150"/>
        <c:shape val="cylinder"/>
        <c:axId val="103025280"/>
        <c:axId val="103043456"/>
        <c:axId val="0"/>
      </c:bar3DChart>
      <c:catAx>
        <c:axId val="103025280"/>
        <c:scaling>
          <c:orientation val="minMax"/>
        </c:scaling>
        <c:delete val="0"/>
        <c:axPos val="b"/>
        <c:numFmt formatCode="General" sourceLinked="1"/>
        <c:majorTickMark val="out"/>
        <c:minorTickMark val="none"/>
        <c:tickLblPos val="nextTo"/>
        <c:crossAx val="103043456"/>
        <c:crosses val="autoZero"/>
        <c:auto val="1"/>
        <c:lblAlgn val="ctr"/>
        <c:lblOffset val="100"/>
        <c:noMultiLvlLbl val="0"/>
      </c:catAx>
      <c:valAx>
        <c:axId val="103043456"/>
        <c:scaling>
          <c:orientation val="minMax"/>
        </c:scaling>
        <c:delete val="0"/>
        <c:axPos val="l"/>
        <c:majorGridlines/>
        <c:numFmt formatCode="0" sourceLinked="1"/>
        <c:majorTickMark val="out"/>
        <c:minorTickMark val="none"/>
        <c:tickLblPos val="nextTo"/>
        <c:crossAx val="103025280"/>
        <c:crosses val="autoZero"/>
        <c:crossBetween val="between"/>
      </c:valAx>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Hárok2!$D$372</c:f>
              <c:strCache>
                <c:ptCount val="1"/>
                <c:pt idx="0">
                  <c:v>2011</c:v>
                </c:pt>
              </c:strCache>
            </c:strRef>
          </c:tx>
          <c:invertIfNegative val="0"/>
          <c:cat>
            <c:strRef>
              <c:f>Hárok2!$C$373:$C$380</c:f>
              <c:strCache>
                <c:ptCount val="8"/>
                <c:pt idx="0">
                  <c:v>SvF</c:v>
                </c:pt>
                <c:pt idx="1">
                  <c:v>SjF</c:v>
                </c:pt>
                <c:pt idx="2">
                  <c:v>FEI</c:v>
                </c:pt>
                <c:pt idx="3">
                  <c:v>FChPT</c:v>
                </c:pt>
                <c:pt idx="4">
                  <c:v>FA</c:v>
                </c:pt>
                <c:pt idx="5">
                  <c:v>MTF</c:v>
                </c:pt>
                <c:pt idx="6">
                  <c:v>FIIT</c:v>
                </c:pt>
                <c:pt idx="7">
                  <c:v>ÚM</c:v>
                </c:pt>
              </c:strCache>
            </c:strRef>
          </c:cat>
          <c:val>
            <c:numRef>
              <c:f>Hárok2!$D$373:$D$380</c:f>
              <c:numCache>
                <c:formatCode>#,##0_ ;\-#,##0\ </c:formatCode>
                <c:ptCount val="8"/>
                <c:pt idx="0">
                  <c:v>150625.81999999998</c:v>
                </c:pt>
                <c:pt idx="1">
                  <c:v>117535</c:v>
                </c:pt>
                <c:pt idx="2">
                  <c:v>396549.88</c:v>
                </c:pt>
                <c:pt idx="3">
                  <c:v>967492.22</c:v>
                </c:pt>
                <c:pt idx="4">
                  <c:v>16902</c:v>
                </c:pt>
                <c:pt idx="5">
                  <c:v>1268452.3900000008</c:v>
                </c:pt>
                <c:pt idx="6">
                  <c:v>0</c:v>
                </c:pt>
                <c:pt idx="7">
                  <c:v>165487.28</c:v>
                </c:pt>
              </c:numCache>
            </c:numRef>
          </c:val>
        </c:ser>
        <c:ser>
          <c:idx val="1"/>
          <c:order val="1"/>
          <c:tx>
            <c:strRef>
              <c:f>Hárok2!$E$372</c:f>
              <c:strCache>
                <c:ptCount val="1"/>
                <c:pt idx="0">
                  <c:v>2012</c:v>
                </c:pt>
              </c:strCache>
            </c:strRef>
          </c:tx>
          <c:invertIfNegative val="0"/>
          <c:cat>
            <c:strRef>
              <c:f>Hárok2!$C$373:$C$380</c:f>
              <c:strCache>
                <c:ptCount val="8"/>
                <c:pt idx="0">
                  <c:v>SvF</c:v>
                </c:pt>
                <c:pt idx="1">
                  <c:v>SjF</c:v>
                </c:pt>
                <c:pt idx="2">
                  <c:v>FEI</c:v>
                </c:pt>
                <c:pt idx="3">
                  <c:v>FChPT</c:v>
                </c:pt>
                <c:pt idx="4">
                  <c:v>FA</c:v>
                </c:pt>
                <c:pt idx="5">
                  <c:v>MTF</c:v>
                </c:pt>
                <c:pt idx="6">
                  <c:v>FIIT</c:v>
                </c:pt>
                <c:pt idx="7">
                  <c:v>ÚM</c:v>
                </c:pt>
              </c:strCache>
            </c:strRef>
          </c:cat>
          <c:val>
            <c:numRef>
              <c:f>Hárok2!$E$373:$E$380</c:f>
              <c:numCache>
                <c:formatCode>#,##0_ ;\-#,##0\ </c:formatCode>
                <c:ptCount val="8"/>
                <c:pt idx="0">
                  <c:v>0</c:v>
                </c:pt>
                <c:pt idx="1">
                  <c:v>172374.9</c:v>
                </c:pt>
                <c:pt idx="2">
                  <c:v>161981.91999999998</c:v>
                </c:pt>
                <c:pt idx="3">
                  <c:v>108570</c:v>
                </c:pt>
                <c:pt idx="4">
                  <c:v>54243.92</c:v>
                </c:pt>
                <c:pt idx="5">
                  <c:v>10124</c:v>
                </c:pt>
                <c:pt idx="6">
                  <c:v>1500</c:v>
                </c:pt>
                <c:pt idx="7">
                  <c:v>108070.61</c:v>
                </c:pt>
              </c:numCache>
            </c:numRef>
          </c:val>
        </c:ser>
        <c:ser>
          <c:idx val="2"/>
          <c:order val="2"/>
          <c:tx>
            <c:strRef>
              <c:f>Hárok2!$F$372</c:f>
              <c:strCache>
                <c:ptCount val="1"/>
                <c:pt idx="0">
                  <c:v>2013</c:v>
                </c:pt>
              </c:strCache>
            </c:strRef>
          </c:tx>
          <c:invertIfNegative val="0"/>
          <c:cat>
            <c:strRef>
              <c:f>Hárok2!$C$373:$C$380</c:f>
              <c:strCache>
                <c:ptCount val="8"/>
                <c:pt idx="0">
                  <c:v>SvF</c:v>
                </c:pt>
                <c:pt idx="1">
                  <c:v>SjF</c:v>
                </c:pt>
                <c:pt idx="2">
                  <c:v>FEI</c:v>
                </c:pt>
                <c:pt idx="3">
                  <c:v>FChPT</c:v>
                </c:pt>
                <c:pt idx="4">
                  <c:v>FA</c:v>
                </c:pt>
                <c:pt idx="5">
                  <c:v>MTF</c:v>
                </c:pt>
                <c:pt idx="6">
                  <c:v>FIIT</c:v>
                </c:pt>
                <c:pt idx="7">
                  <c:v>ÚM</c:v>
                </c:pt>
              </c:strCache>
            </c:strRef>
          </c:cat>
          <c:val>
            <c:numRef>
              <c:f>Hárok2!$F$373:$F$380</c:f>
              <c:numCache>
                <c:formatCode>#,##0_ ;\-#,##0\ </c:formatCode>
                <c:ptCount val="8"/>
                <c:pt idx="0">
                  <c:v>60000</c:v>
                </c:pt>
                <c:pt idx="1">
                  <c:v>34804.83</c:v>
                </c:pt>
                <c:pt idx="2">
                  <c:v>779897.51</c:v>
                </c:pt>
                <c:pt idx="3">
                  <c:v>305948.7</c:v>
                </c:pt>
                <c:pt idx="4">
                  <c:v>15800.949999999986</c:v>
                </c:pt>
                <c:pt idx="5">
                  <c:v>5439.81</c:v>
                </c:pt>
                <c:pt idx="6">
                  <c:v>0</c:v>
                </c:pt>
                <c:pt idx="7">
                  <c:v>81852.239999999991</c:v>
                </c:pt>
              </c:numCache>
            </c:numRef>
          </c:val>
        </c:ser>
        <c:ser>
          <c:idx val="3"/>
          <c:order val="3"/>
          <c:tx>
            <c:strRef>
              <c:f>Hárok2!$G$372</c:f>
              <c:strCache>
                <c:ptCount val="1"/>
                <c:pt idx="0">
                  <c:v>2014</c:v>
                </c:pt>
              </c:strCache>
            </c:strRef>
          </c:tx>
          <c:invertIfNegative val="0"/>
          <c:cat>
            <c:strRef>
              <c:f>Hárok2!$C$373:$C$380</c:f>
              <c:strCache>
                <c:ptCount val="8"/>
                <c:pt idx="0">
                  <c:v>SvF</c:v>
                </c:pt>
                <c:pt idx="1">
                  <c:v>SjF</c:v>
                </c:pt>
                <c:pt idx="2">
                  <c:v>FEI</c:v>
                </c:pt>
                <c:pt idx="3">
                  <c:v>FChPT</c:v>
                </c:pt>
                <c:pt idx="4">
                  <c:v>FA</c:v>
                </c:pt>
                <c:pt idx="5">
                  <c:v>MTF</c:v>
                </c:pt>
                <c:pt idx="6">
                  <c:v>FIIT</c:v>
                </c:pt>
                <c:pt idx="7">
                  <c:v>ÚM</c:v>
                </c:pt>
              </c:strCache>
            </c:strRef>
          </c:cat>
          <c:val>
            <c:numRef>
              <c:f>Hárok2!$G$373:$G$380</c:f>
              <c:numCache>
                <c:formatCode>#,##0_ ;\-#,##0\ </c:formatCode>
                <c:ptCount val="8"/>
                <c:pt idx="0">
                  <c:v>82139.55</c:v>
                </c:pt>
                <c:pt idx="1">
                  <c:v>13886.17</c:v>
                </c:pt>
                <c:pt idx="2">
                  <c:v>568518.35000000044</c:v>
                </c:pt>
                <c:pt idx="3">
                  <c:v>356004.07</c:v>
                </c:pt>
                <c:pt idx="4">
                  <c:v>45691.68</c:v>
                </c:pt>
                <c:pt idx="5">
                  <c:v>4049</c:v>
                </c:pt>
                <c:pt idx="6">
                  <c:v>0</c:v>
                </c:pt>
                <c:pt idx="7">
                  <c:v>99138.209999999992</c:v>
                </c:pt>
              </c:numCache>
            </c:numRef>
          </c:val>
        </c:ser>
        <c:dLbls>
          <c:showLegendKey val="0"/>
          <c:showVal val="0"/>
          <c:showCatName val="0"/>
          <c:showSerName val="0"/>
          <c:showPercent val="0"/>
          <c:showBubbleSize val="0"/>
        </c:dLbls>
        <c:gapWidth val="150"/>
        <c:shape val="cylinder"/>
        <c:axId val="103078144"/>
        <c:axId val="103223296"/>
        <c:axId val="0"/>
      </c:bar3DChart>
      <c:catAx>
        <c:axId val="103078144"/>
        <c:scaling>
          <c:orientation val="minMax"/>
        </c:scaling>
        <c:delete val="0"/>
        <c:axPos val="b"/>
        <c:majorTickMark val="out"/>
        <c:minorTickMark val="none"/>
        <c:tickLblPos val="nextTo"/>
        <c:crossAx val="103223296"/>
        <c:crosses val="autoZero"/>
        <c:auto val="1"/>
        <c:lblAlgn val="ctr"/>
        <c:lblOffset val="100"/>
        <c:noMultiLvlLbl val="0"/>
      </c:catAx>
      <c:valAx>
        <c:axId val="103223296"/>
        <c:scaling>
          <c:orientation val="minMax"/>
        </c:scaling>
        <c:delete val="0"/>
        <c:axPos val="l"/>
        <c:majorGridlines/>
        <c:numFmt formatCode="#,##0_ ;\-#,##0\ " sourceLinked="1"/>
        <c:majorTickMark val="out"/>
        <c:minorTickMark val="none"/>
        <c:tickLblPos val="nextTo"/>
        <c:crossAx val="1030781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Hárok2!$C$450</c:f>
              <c:strCache>
                <c:ptCount val="1"/>
                <c:pt idx="0">
                  <c:v>2011</c:v>
                </c:pt>
              </c:strCache>
            </c:strRef>
          </c:tx>
          <c:invertIfNegative val="0"/>
          <c:cat>
            <c:strRef>
              <c:f>Hárok2!$B$451:$B$455</c:f>
              <c:strCache>
                <c:ptCount val="5"/>
                <c:pt idx="0">
                  <c:v>A1</c:v>
                </c:pt>
                <c:pt idx="1">
                  <c:v>A2</c:v>
                </c:pt>
                <c:pt idx="2">
                  <c:v>B</c:v>
                </c:pt>
                <c:pt idx="3">
                  <c:v>C</c:v>
                </c:pt>
                <c:pt idx="4">
                  <c:v>D/100</c:v>
                </c:pt>
              </c:strCache>
            </c:strRef>
          </c:cat>
          <c:val>
            <c:numRef>
              <c:f>Hárok2!$C$451:$C$455</c:f>
              <c:numCache>
                <c:formatCode>General</c:formatCode>
                <c:ptCount val="5"/>
                <c:pt idx="0">
                  <c:v>145</c:v>
                </c:pt>
                <c:pt idx="1">
                  <c:v>190</c:v>
                </c:pt>
                <c:pt idx="2">
                  <c:v>364</c:v>
                </c:pt>
                <c:pt idx="3">
                  <c:v>0</c:v>
                </c:pt>
                <c:pt idx="4">
                  <c:v>66.89</c:v>
                </c:pt>
              </c:numCache>
            </c:numRef>
          </c:val>
        </c:ser>
        <c:ser>
          <c:idx val="1"/>
          <c:order val="1"/>
          <c:tx>
            <c:strRef>
              <c:f>Hárok2!$D$450</c:f>
              <c:strCache>
                <c:ptCount val="1"/>
                <c:pt idx="0">
                  <c:v>2012</c:v>
                </c:pt>
              </c:strCache>
            </c:strRef>
          </c:tx>
          <c:invertIfNegative val="0"/>
          <c:cat>
            <c:strRef>
              <c:f>Hárok2!$B$451:$B$455</c:f>
              <c:strCache>
                <c:ptCount val="5"/>
                <c:pt idx="0">
                  <c:v>A1</c:v>
                </c:pt>
                <c:pt idx="1">
                  <c:v>A2</c:v>
                </c:pt>
                <c:pt idx="2">
                  <c:v>B</c:v>
                </c:pt>
                <c:pt idx="3">
                  <c:v>C</c:v>
                </c:pt>
                <c:pt idx="4">
                  <c:v>D/100</c:v>
                </c:pt>
              </c:strCache>
            </c:strRef>
          </c:cat>
          <c:val>
            <c:numRef>
              <c:f>Hárok2!$D$451:$D$455</c:f>
              <c:numCache>
                <c:formatCode>General</c:formatCode>
                <c:ptCount val="5"/>
                <c:pt idx="0">
                  <c:v>105</c:v>
                </c:pt>
                <c:pt idx="1">
                  <c:v>196</c:v>
                </c:pt>
                <c:pt idx="2">
                  <c:v>325</c:v>
                </c:pt>
                <c:pt idx="3">
                  <c:v>0</c:v>
                </c:pt>
                <c:pt idx="4">
                  <c:v>60.6</c:v>
                </c:pt>
              </c:numCache>
            </c:numRef>
          </c:val>
        </c:ser>
        <c:ser>
          <c:idx val="2"/>
          <c:order val="2"/>
          <c:tx>
            <c:strRef>
              <c:f>Hárok2!$E$450</c:f>
              <c:strCache>
                <c:ptCount val="1"/>
                <c:pt idx="0">
                  <c:v>2013</c:v>
                </c:pt>
              </c:strCache>
            </c:strRef>
          </c:tx>
          <c:invertIfNegative val="0"/>
          <c:cat>
            <c:strRef>
              <c:f>Hárok2!$B$451:$B$455</c:f>
              <c:strCache>
                <c:ptCount val="5"/>
                <c:pt idx="0">
                  <c:v>A1</c:v>
                </c:pt>
                <c:pt idx="1">
                  <c:v>A2</c:v>
                </c:pt>
                <c:pt idx="2">
                  <c:v>B</c:v>
                </c:pt>
                <c:pt idx="3">
                  <c:v>C</c:v>
                </c:pt>
                <c:pt idx="4">
                  <c:v>D/100</c:v>
                </c:pt>
              </c:strCache>
            </c:strRef>
          </c:cat>
          <c:val>
            <c:numRef>
              <c:f>Hárok2!$E$451:$E$455</c:f>
              <c:numCache>
                <c:formatCode>General</c:formatCode>
                <c:ptCount val="5"/>
                <c:pt idx="0">
                  <c:v>112</c:v>
                </c:pt>
                <c:pt idx="1">
                  <c:v>184</c:v>
                </c:pt>
                <c:pt idx="2">
                  <c:v>393</c:v>
                </c:pt>
                <c:pt idx="3">
                  <c:v>155</c:v>
                </c:pt>
                <c:pt idx="4">
                  <c:v>48.92</c:v>
                </c:pt>
              </c:numCache>
            </c:numRef>
          </c:val>
        </c:ser>
        <c:ser>
          <c:idx val="3"/>
          <c:order val="3"/>
          <c:tx>
            <c:strRef>
              <c:f>Hárok2!$F$450</c:f>
              <c:strCache>
                <c:ptCount val="1"/>
                <c:pt idx="0">
                  <c:v>2014</c:v>
                </c:pt>
              </c:strCache>
            </c:strRef>
          </c:tx>
          <c:invertIfNegative val="0"/>
          <c:cat>
            <c:strRef>
              <c:f>Hárok2!$B$451:$B$455</c:f>
              <c:strCache>
                <c:ptCount val="5"/>
                <c:pt idx="0">
                  <c:v>A1</c:v>
                </c:pt>
                <c:pt idx="1">
                  <c:v>A2</c:v>
                </c:pt>
                <c:pt idx="2">
                  <c:v>B</c:v>
                </c:pt>
                <c:pt idx="3">
                  <c:v>C</c:v>
                </c:pt>
                <c:pt idx="4">
                  <c:v>D/100</c:v>
                </c:pt>
              </c:strCache>
            </c:strRef>
          </c:cat>
          <c:val>
            <c:numRef>
              <c:f>Hárok2!$F$451:$F$455</c:f>
              <c:numCache>
                <c:formatCode>General</c:formatCode>
                <c:ptCount val="5"/>
                <c:pt idx="0">
                  <c:v>50</c:v>
                </c:pt>
                <c:pt idx="1">
                  <c:v>137</c:v>
                </c:pt>
                <c:pt idx="2">
                  <c:v>615</c:v>
                </c:pt>
                <c:pt idx="3">
                  <c:v>215</c:v>
                </c:pt>
                <c:pt idx="4">
                  <c:v>37.83</c:v>
                </c:pt>
              </c:numCache>
            </c:numRef>
          </c:val>
        </c:ser>
        <c:dLbls>
          <c:showLegendKey val="0"/>
          <c:showVal val="0"/>
          <c:showCatName val="0"/>
          <c:showSerName val="0"/>
          <c:showPercent val="0"/>
          <c:showBubbleSize val="0"/>
        </c:dLbls>
        <c:gapWidth val="150"/>
        <c:shape val="cylinder"/>
        <c:axId val="103246080"/>
        <c:axId val="103247872"/>
        <c:axId val="0"/>
      </c:bar3DChart>
      <c:catAx>
        <c:axId val="103246080"/>
        <c:scaling>
          <c:orientation val="minMax"/>
        </c:scaling>
        <c:delete val="0"/>
        <c:axPos val="b"/>
        <c:majorTickMark val="out"/>
        <c:minorTickMark val="none"/>
        <c:tickLblPos val="nextTo"/>
        <c:crossAx val="103247872"/>
        <c:crosses val="autoZero"/>
        <c:auto val="1"/>
        <c:lblAlgn val="ctr"/>
        <c:lblOffset val="100"/>
        <c:noMultiLvlLbl val="0"/>
      </c:catAx>
      <c:valAx>
        <c:axId val="103247872"/>
        <c:scaling>
          <c:orientation val="minMax"/>
        </c:scaling>
        <c:delete val="0"/>
        <c:axPos val="l"/>
        <c:majorGridlines/>
        <c:numFmt formatCode="General" sourceLinked="1"/>
        <c:majorTickMark val="out"/>
        <c:minorTickMark val="none"/>
        <c:tickLblPos val="nextTo"/>
        <c:crossAx val="10324608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A1</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Hárok2!$C$394</c:f>
              <c:strCache>
                <c:ptCount val="1"/>
                <c:pt idx="0">
                  <c:v>2011</c:v>
                </c:pt>
              </c:strCache>
            </c:strRef>
          </c:tx>
          <c:invertIfNegative val="0"/>
          <c:cat>
            <c:strRef>
              <c:f>Hárok2!$B$395:$B$402</c:f>
              <c:strCache>
                <c:ptCount val="8"/>
                <c:pt idx="0">
                  <c:v>SvF</c:v>
                </c:pt>
                <c:pt idx="1">
                  <c:v>SjF</c:v>
                </c:pt>
                <c:pt idx="2">
                  <c:v>FEI</c:v>
                </c:pt>
                <c:pt idx="3">
                  <c:v>FCHPT</c:v>
                </c:pt>
                <c:pt idx="4">
                  <c:v>FA</c:v>
                </c:pt>
                <c:pt idx="5">
                  <c:v>MTF</c:v>
                </c:pt>
                <c:pt idx="6">
                  <c:v>FIIT</c:v>
                </c:pt>
                <c:pt idx="7">
                  <c:v>ÚM</c:v>
                </c:pt>
              </c:strCache>
            </c:strRef>
          </c:cat>
          <c:val>
            <c:numRef>
              <c:f>Hárok2!$C$395:$C$402</c:f>
              <c:numCache>
                <c:formatCode>General</c:formatCode>
                <c:ptCount val="8"/>
                <c:pt idx="0">
                  <c:v>42</c:v>
                </c:pt>
                <c:pt idx="1">
                  <c:v>10</c:v>
                </c:pt>
                <c:pt idx="2">
                  <c:v>20</c:v>
                </c:pt>
                <c:pt idx="3">
                  <c:v>21</c:v>
                </c:pt>
                <c:pt idx="4">
                  <c:v>6</c:v>
                </c:pt>
                <c:pt idx="5">
                  <c:v>16</c:v>
                </c:pt>
                <c:pt idx="6">
                  <c:v>2</c:v>
                </c:pt>
                <c:pt idx="7">
                  <c:v>28</c:v>
                </c:pt>
              </c:numCache>
            </c:numRef>
          </c:val>
        </c:ser>
        <c:ser>
          <c:idx val="1"/>
          <c:order val="1"/>
          <c:tx>
            <c:strRef>
              <c:f>Hárok2!$D$394</c:f>
              <c:strCache>
                <c:ptCount val="1"/>
                <c:pt idx="0">
                  <c:v>2012</c:v>
                </c:pt>
              </c:strCache>
            </c:strRef>
          </c:tx>
          <c:invertIfNegative val="0"/>
          <c:cat>
            <c:strRef>
              <c:f>Hárok2!$B$395:$B$402</c:f>
              <c:strCache>
                <c:ptCount val="8"/>
                <c:pt idx="0">
                  <c:v>SvF</c:v>
                </c:pt>
                <c:pt idx="1">
                  <c:v>SjF</c:v>
                </c:pt>
                <c:pt idx="2">
                  <c:v>FEI</c:v>
                </c:pt>
                <c:pt idx="3">
                  <c:v>FCHPT</c:v>
                </c:pt>
                <c:pt idx="4">
                  <c:v>FA</c:v>
                </c:pt>
                <c:pt idx="5">
                  <c:v>MTF</c:v>
                </c:pt>
                <c:pt idx="6">
                  <c:v>FIIT</c:v>
                </c:pt>
                <c:pt idx="7">
                  <c:v>ÚM</c:v>
                </c:pt>
              </c:strCache>
            </c:strRef>
          </c:cat>
          <c:val>
            <c:numRef>
              <c:f>Hárok2!$D$395:$D$402</c:f>
              <c:numCache>
                <c:formatCode>General</c:formatCode>
                <c:ptCount val="8"/>
                <c:pt idx="0">
                  <c:v>20</c:v>
                </c:pt>
                <c:pt idx="1">
                  <c:v>13</c:v>
                </c:pt>
                <c:pt idx="2">
                  <c:v>14</c:v>
                </c:pt>
                <c:pt idx="3">
                  <c:v>9</c:v>
                </c:pt>
                <c:pt idx="4">
                  <c:v>17</c:v>
                </c:pt>
                <c:pt idx="5">
                  <c:v>25</c:v>
                </c:pt>
                <c:pt idx="6">
                  <c:v>1</c:v>
                </c:pt>
                <c:pt idx="7">
                  <c:v>6</c:v>
                </c:pt>
              </c:numCache>
            </c:numRef>
          </c:val>
        </c:ser>
        <c:ser>
          <c:idx val="2"/>
          <c:order val="2"/>
          <c:tx>
            <c:strRef>
              <c:f>Hárok2!$E$394</c:f>
              <c:strCache>
                <c:ptCount val="1"/>
                <c:pt idx="0">
                  <c:v>2013</c:v>
                </c:pt>
              </c:strCache>
            </c:strRef>
          </c:tx>
          <c:invertIfNegative val="0"/>
          <c:cat>
            <c:strRef>
              <c:f>Hárok2!$B$395:$B$402</c:f>
              <c:strCache>
                <c:ptCount val="8"/>
                <c:pt idx="0">
                  <c:v>SvF</c:v>
                </c:pt>
                <c:pt idx="1">
                  <c:v>SjF</c:v>
                </c:pt>
                <c:pt idx="2">
                  <c:v>FEI</c:v>
                </c:pt>
                <c:pt idx="3">
                  <c:v>FCHPT</c:v>
                </c:pt>
                <c:pt idx="4">
                  <c:v>FA</c:v>
                </c:pt>
                <c:pt idx="5">
                  <c:v>MTF</c:v>
                </c:pt>
                <c:pt idx="6">
                  <c:v>FIIT</c:v>
                </c:pt>
                <c:pt idx="7">
                  <c:v>ÚM</c:v>
                </c:pt>
              </c:strCache>
            </c:strRef>
          </c:cat>
          <c:val>
            <c:numRef>
              <c:f>Hárok2!$E$395:$E$402</c:f>
              <c:numCache>
                <c:formatCode>General</c:formatCode>
                <c:ptCount val="8"/>
                <c:pt idx="0">
                  <c:v>25</c:v>
                </c:pt>
                <c:pt idx="1">
                  <c:v>5</c:v>
                </c:pt>
                <c:pt idx="2">
                  <c:v>5</c:v>
                </c:pt>
                <c:pt idx="3">
                  <c:v>37</c:v>
                </c:pt>
                <c:pt idx="4">
                  <c:v>5</c:v>
                </c:pt>
                <c:pt idx="5">
                  <c:v>30</c:v>
                </c:pt>
                <c:pt idx="6">
                  <c:v>0</c:v>
                </c:pt>
                <c:pt idx="7">
                  <c:v>5</c:v>
                </c:pt>
              </c:numCache>
            </c:numRef>
          </c:val>
        </c:ser>
        <c:ser>
          <c:idx val="3"/>
          <c:order val="3"/>
          <c:tx>
            <c:strRef>
              <c:f>Hárok2!$F$394</c:f>
              <c:strCache>
                <c:ptCount val="1"/>
                <c:pt idx="0">
                  <c:v>2014</c:v>
                </c:pt>
              </c:strCache>
            </c:strRef>
          </c:tx>
          <c:invertIfNegative val="0"/>
          <c:cat>
            <c:strRef>
              <c:f>Hárok2!$B$395:$B$402</c:f>
              <c:strCache>
                <c:ptCount val="8"/>
                <c:pt idx="0">
                  <c:v>SvF</c:v>
                </c:pt>
                <c:pt idx="1">
                  <c:v>SjF</c:v>
                </c:pt>
                <c:pt idx="2">
                  <c:v>FEI</c:v>
                </c:pt>
                <c:pt idx="3">
                  <c:v>FCHPT</c:v>
                </c:pt>
                <c:pt idx="4">
                  <c:v>FA</c:v>
                </c:pt>
                <c:pt idx="5">
                  <c:v>MTF</c:v>
                </c:pt>
                <c:pt idx="6">
                  <c:v>FIIT</c:v>
                </c:pt>
                <c:pt idx="7">
                  <c:v>ÚM</c:v>
                </c:pt>
              </c:strCache>
            </c:strRef>
          </c:cat>
          <c:val>
            <c:numRef>
              <c:f>Hárok2!$F$395:$F$402</c:f>
              <c:numCache>
                <c:formatCode>General</c:formatCode>
                <c:ptCount val="8"/>
                <c:pt idx="0">
                  <c:v>17.190000000000001</c:v>
                </c:pt>
                <c:pt idx="1">
                  <c:v>3.54</c:v>
                </c:pt>
                <c:pt idx="2">
                  <c:v>7.44</c:v>
                </c:pt>
                <c:pt idx="3">
                  <c:v>1.1800000000000017</c:v>
                </c:pt>
                <c:pt idx="4">
                  <c:v>2</c:v>
                </c:pt>
                <c:pt idx="5">
                  <c:v>2.66</c:v>
                </c:pt>
                <c:pt idx="6">
                  <c:v>5</c:v>
                </c:pt>
                <c:pt idx="7">
                  <c:v>0</c:v>
                </c:pt>
              </c:numCache>
            </c:numRef>
          </c:val>
        </c:ser>
        <c:dLbls>
          <c:showLegendKey val="0"/>
          <c:showVal val="0"/>
          <c:showCatName val="0"/>
          <c:showSerName val="0"/>
          <c:showPercent val="0"/>
          <c:showBubbleSize val="0"/>
        </c:dLbls>
        <c:gapWidth val="150"/>
        <c:shape val="cylinder"/>
        <c:axId val="103356672"/>
        <c:axId val="103358464"/>
        <c:axId val="0"/>
      </c:bar3DChart>
      <c:catAx>
        <c:axId val="103356672"/>
        <c:scaling>
          <c:orientation val="minMax"/>
        </c:scaling>
        <c:delete val="0"/>
        <c:axPos val="b"/>
        <c:majorTickMark val="none"/>
        <c:minorTickMark val="none"/>
        <c:tickLblPos val="nextTo"/>
        <c:crossAx val="103358464"/>
        <c:crosses val="autoZero"/>
        <c:auto val="1"/>
        <c:lblAlgn val="ctr"/>
        <c:lblOffset val="100"/>
        <c:noMultiLvlLbl val="0"/>
      </c:catAx>
      <c:valAx>
        <c:axId val="103358464"/>
        <c:scaling>
          <c:orientation val="minMax"/>
        </c:scaling>
        <c:delete val="0"/>
        <c:axPos val="l"/>
        <c:majorGridlines/>
        <c:numFmt formatCode="General" sourceLinked="1"/>
        <c:majorTickMark val="none"/>
        <c:minorTickMark val="none"/>
        <c:tickLblPos val="nextTo"/>
        <c:crossAx val="10335667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A2</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Hárok2!$C$408</c:f>
              <c:strCache>
                <c:ptCount val="1"/>
                <c:pt idx="0">
                  <c:v>2011</c:v>
                </c:pt>
              </c:strCache>
            </c:strRef>
          </c:tx>
          <c:invertIfNegative val="0"/>
          <c:cat>
            <c:strRef>
              <c:f>Hárok2!$B$409:$B$416</c:f>
              <c:strCache>
                <c:ptCount val="8"/>
                <c:pt idx="0">
                  <c:v>SvF</c:v>
                </c:pt>
                <c:pt idx="1">
                  <c:v>SjF</c:v>
                </c:pt>
                <c:pt idx="2">
                  <c:v>FEI</c:v>
                </c:pt>
                <c:pt idx="3">
                  <c:v>FCHPT</c:v>
                </c:pt>
                <c:pt idx="4">
                  <c:v>FA</c:v>
                </c:pt>
                <c:pt idx="5">
                  <c:v>MTF</c:v>
                </c:pt>
                <c:pt idx="6">
                  <c:v>FIIT</c:v>
                </c:pt>
                <c:pt idx="7">
                  <c:v>ÚM</c:v>
                </c:pt>
              </c:strCache>
            </c:strRef>
          </c:cat>
          <c:val>
            <c:numRef>
              <c:f>Hárok2!$C$409:$C$416</c:f>
              <c:numCache>
                <c:formatCode>General</c:formatCode>
                <c:ptCount val="8"/>
                <c:pt idx="0">
                  <c:v>37</c:v>
                </c:pt>
                <c:pt idx="1">
                  <c:v>33</c:v>
                </c:pt>
                <c:pt idx="2">
                  <c:v>29</c:v>
                </c:pt>
                <c:pt idx="3">
                  <c:v>23</c:v>
                </c:pt>
                <c:pt idx="4">
                  <c:v>17</c:v>
                </c:pt>
                <c:pt idx="5">
                  <c:v>35</c:v>
                </c:pt>
                <c:pt idx="6">
                  <c:v>9</c:v>
                </c:pt>
                <c:pt idx="7">
                  <c:v>7</c:v>
                </c:pt>
              </c:numCache>
            </c:numRef>
          </c:val>
        </c:ser>
        <c:ser>
          <c:idx val="1"/>
          <c:order val="1"/>
          <c:tx>
            <c:strRef>
              <c:f>Hárok2!$D$408</c:f>
              <c:strCache>
                <c:ptCount val="1"/>
                <c:pt idx="0">
                  <c:v>2012</c:v>
                </c:pt>
              </c:strCache>
            </c:strRef>
          </c:tx>
          <c:invertIfNegative val="0"/>
          <c:cat>
            <c:strRef>
              <c:f>Hárok2!$B$409:$B$416</c:f>
              <c:strCache>
                <c:ptCount val="8"/>
                <c:pt idx="0">
                  <c:v>SvF</c:v>
                </c:pt>
                <c:pt idx="1">
                  <c:v>SjF</c:v>
                </c:pt>
                <c:pt idx="2">
                  <c:v>FEI</c:v>
                </c:pt>
                <c:pt idx="3">
                  <c:v>FCHPT</c:v>
                </c:pt>
                <c:pt idx="4">
                  <c:v>FA</c:v>
                </c:pt>
                <c:pt idx="5">
                  <c:v>MTF</c:v>
                </c:pt>
                <c:pt idx="6">
                  <c:v>FIIT</c:v>
                </c:pt>
                <c:pt idx="7">
                  <c:v>ÚM</c:v>
                </c:pt>
              </c:strCache>
            </c:strRef>
          </c:cat>
          <c:val>
            <c:numRef>
              <c:f>Hárok2!$D$409:$D$416</c:f>
              <c:numCache>
                <c:formatCode>General</c:formatCode>
                <c:ptCount val="8"/>
                <c:pt idx="0">
                  <c:v>27</c:v>
                </c:pt>
                <c:pt idx="1">
                  <c:v>24</c:v>
                </c:pt>
                <c:pt idx="2">
                  <c:v>29</c:v>
                </c:pt>
                <c:pt idx="3">
                  <c:v>32</c:v>
                </c:pt>
                <c:pt idx="4">
                  <c:v>18</c:v>
                </c:pt>
                <c:pt idx="5">
                  <c:v>50</c:v>
                </c:pt>
                <c:pt idx="6">
                  <c:v>9</c:v>
                </c:pt>
                <c:pt idx="7">
                  <c:v>7</c:v>
                </c:pt>
              </c:numCache>
            </c:numRef>
          </c:val>
        </c:ser>
        <c:ser>
          <c:idx val="2"/>
          <c:order val="2"/>
          <c:tx>
            <c:strRef>
              <c:f>Hárok2!$E$408</c:f>
              <c:strCache>
                <c:ptCount val="1"/>
                <c:pt idx="0">
                  <c:v>2013</c:v>
                </c:pt>
              </c:strCache>
            </c:strRef>
          </c:tx>
          <c:spPr>
            <a:ln>
              <a:noFill/>
            </a:ln>
          </c:spPr>
          <c:invertIfNegative val="0"/>
          <c:cat>
            <c:strRef>
              <c:f>Hárok2!$B$409:$B$416</c:f>
              <c:strCache>
                <c:ptCount val="8"/>
                <c:pt idx="0">
                  <c:v>SvF</c:v>
                </c:pt>
                <c:pt idx="1">
                  <c:v>SjF</c:v>
                </c:pt>
                <c:pt idx="2">
                  <c:v>FEI</c:v>
                </c:pt>
                <c:pt idx="3">
                  <c:v>FCHPT</c:v>
                </c:pt>
                <c:pt idx="4">
                  <c:v>FA</c:v>
                </c:pt>
                <c:pt idx="5">
                  <c:v>MTF</c:v>
                </c:pt>
                <c:pt idx="6">
                  <c:v>FIIT</c:v>
                </c:pt>
                <c:pt idx="7">
                  <c:v>ÚM</c:v>
                </c:pt>
              </c:strCache>
            </c:strRef>
          </c:cat>
          <c:val>
            <c:numRef>
              <c:f>Hárok2!$E$409:$E$416</c:f>
              <c:numCache>
                <c:formatCode>General</c:formatCode>
                <c:ptCount val="8"/>
                <c:pt idx="0">
                  <c:v>40</c:v>
                </c:pt>
                <c:pt idx="1">
                  <c:v>22</c:v>
                </c:pt>
                <c:pt idx="2">
                  <c:v>30</c:v>
                </c:pt>
                <c:pt idx="3">
                  <c:v>34</c:v>
                </c:pt>
                <c:pt idx="4">
                  <c:v>16</c:v>
                </c:pt>
                <c:pt idx="5">
                  <c:v>30</c:v>
                </c:pt>
                <c:pt idx="6">
                  <c:v>2</c:v>
                </c:pt>
                <c:pt idx="7">
                  <c:v>10</c:v>
                </c:pt>
              </c:numCache>
            </c:numRef>
          </c:val>
        </c:ser>
        <c:ser>
          <c:idx val="3"/>
          <c:order val="3"/>
          <c:tx>
            <c:strRef>
              <c:f>Hárok2!$F$408</c:f>
              <c:strCache>
                <c:ptCount val="1"/>
                <c:pt idx="0">
                  <c:v>2014</c:v>
                </c:pt>
              </c:strCache>
            </c:strRef>
          </c:tx>
          <c:invertIfNegative val="0"/>
          <c:cat>
            <c:strRef>
              <c:f>Hárok2!$B$409:$B$416</c:f>
              <c:strCache>
                <c:ptCount val="8"/>
                <c:pt idx="0">
                  <c:v>SvF</c:v>
                </c:pt>
                <c:pt idx="1">
                  <c:v>SjF</c:v>
                </c:pt>
                <c:pt idx="2">
                  <c:v>FEI</c:v>
                </c:pt>
                <c:pt idx="3">
                  <c:v>FCHPT</c:v>
                </c:pt>
                <c:pt idx="4">
                  <c:v>FA</c:v>
                </c:pt>
                <c:pt idx="5">
                  <c:v>MTF</c:v>
                </c:pt>
                <c:pt idx="6">
                  <c:v>FIIT</c:v>
                </c:pt>
                <c:pt idx="7">
                  <c:v>ÚM</c:v>
                </c:pt>
              </c:strCache>
            </c:strRef>
          </c:cat>
          <c:val>
            <c:numRef>
              <c:f>Hárok2!$F$409:$F$416</c:f>
              <c:numCache>
                <c:formatCode>General</c:formatCode>
                <c:ptCount val="8"/>
                <c:pt idx="0">
                  <c:v>48.45</c:v>
                </c:pt>
                <c:pt idx="1">
                  <c:v>28</c:v>
                </c:pt>
                <c:pt idx="2">
                  <c:v>26.79</c:v>
                </c:pt>
                <c:pt idx="3">
                  <c:v>8</c:v>
                </c:pt>
                <c:pt idx="4">
                  <c:v>8</c:v>
                </c:pt>
                <c:pt idx="5">
                  <c:v>23.71</c:v>
                </c:pt>
                <c:pt idx="6">
                  <c:v>5</c:v>
                </c:pt>
                <c:pt idx="7">
                  <c:v>5.05</c:v>
                </c:pt>
              </c:numCache>
            </c:numRef>
          </c:val>
        </c:ser>
        <c:dLbls>
          <c:showLegendKey val="0"/>
          <c:showVal val="0"/>
          <c:showCatName val="0"/>
          <c:showSerName val="0"/>
          <c:showPercent val="0"/>
          <c:showBubbleSize val="0"/>
        </c:dLbls>
        <c:gapWidth val="150"/>
        <c:shape val="cylinder"/>
        <c:axId val="103393920"/>
        <c:axId val="103403904"/>
        <c:axId val="0"/>
      </c:bar3DChart>
      <c:catAx>
        <c:axId val="103393920"/>
        <c:scaling>
          <c:orientation val="minMax"/>
        </c:scaling>
        <c:delete val="0"/>
        <c:axPos val="b"/>
        <c:majorTickMark val="none"/>
        <c:minorTickMark val="none"/>
        <c:tickLblPos val="nextTo"/>
        <c:crossAx val="103403904"/>
        <c:crosses val="autoZero"/>
        <c:auto val="1"/>
        <c:lblAlgn val="ctr"/>
        <c:lblOffset val="100"/>
        <c:noMultiLvlLbl val="0"/>
      </c:catAx>
      <c:valAx>
        <c:axId val="103403904"/>
        <c:scaling>
          <c:orientation val="minMax"/>
        </c:scaling>
        <c:delete val="0"/>
        <c:axPos val="l"/>
        <c:majorGridlines/>
        <c:numFmt formatCode="General" sourceLinked="1"/>
        <c:majorTickMark val="none"/>
        <c:minorTickMark val="none"/>
        <c:tickLblPos val="nextTo"/>
        <c:crossAx val="10339392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B</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Hárok2!$C$422</c:f>
              <c:strCache>
                <c:ptCount val="1"/>
                <c:pt idx="0">
                  <c:v>2011</c:v>
                </c:pt>
              </c:strCache>
            </c:strRef>
          </c:tx>
          <c:invertIfNegative val="0"/>
          <c:cat>
            <c:strRef>
              <c:f>Hárok2!$B$423:$B$430</c:f>
              <c:strCache>
                <c:ptCount val="8"/>
                <c:pt idx="0">
                  <c:v>SvF</c:v>
                </c:pt>
                <c:pt idx="1">
                  <c:v>SjF</c:v>
                </c:pt>
                <c:pt idx="2">
                  <c:v>FEI</c:v>
                </c:pt>
                <c:pt idx="3">
                  <c:v>FCHPT</c:v>
                </c:pt>
                <c:pt idx="4">
                  <c:v>FA</c:v>
                </c:pt>
                <c:pt idx="5">
                  <c:v>MTF</c:v>
                </c:pt>
                <c:pt idx="6">
                  <c:v>FIIT</c:v>
                </c:pt>
                <c:pt idx="7">
                  <c:v>ÚM</c:v>
                </c:pt>
              </c:strCache>
            </c:strRef>
          </c:cat>
          <c:val>
            <c:numRef>
              <c:f>Hárok2!$C$423:$C$430</c:f>
              <c:numCache>
                <c:formatCode>General</c:formatCode>
                <c:ptCount val="8"/>
                <c:pt idx="0">
                  <c:v>44</c:v>
                </c:pt>
                <c:pt idx="1">
                  <c:v>16</c:v>
                </c:pt>
                <c:pt idx="2">
                  <c:v>75</c:v>
                </c:pt>
                <c:pt idx="3">
                  <c:v>189</c:v>
                </c:pt>
                <c:pt idx="4">
                  <c:v>0</c:v>
                </c:pt>
                <c:pt idx="5">
                  <c:v>32</c:v>
                </c:pt>
                <c:pt idx="6">
                  <c:v>6</c:v>
                </c:pt>
                <c:pt idx="7">
                  <c:v>2</c:v>
                </c:pt>
              </c:numCache>
            </c:numRef>
          </c:val>
        </c:ser>
        <c:ser>
          <c:idx val="1"/>
          <c:order val="1"/>
          <c:tx>
            <c:strRef>
              <c:f>Hárok2!$D$422</c:f>
              <c:strCache>
                <c:ptCount val="1"/>
                <c:pt idx="0">
                  <c:v>2012</c:v>
                </c:pt>
              </c:strCache>
            </c:strRef>
          </c:tx>
          <c:invertIfNegative val="0"/>
          <c:cat>
            <c:strRef>
              <c:f>Hárok2!$B$423:$B$430</c:f>
              <c:strCache>
                <c:ptCount val="8"/>
                <c:pt idx="0">
                  <c:v>SvF</c:v>
                </c:pt>
                <c:pt idx="1">
                  <c:v>SjF</c:v>
                </c:pt>
                <c:pt idx="2">
                  <c:v>FEI</c:v>
                </c:pt>
                <c:pt idx="3">
                  <c:v>FCHPT</c:v>
                </c:pt>
                <c:pt idx="4">
                  <c:v>FA</c:v>
                </c:pt>
                <c:pt idx="5">
                  <c:v>MTF</c:v>
                </c:pt>
                <c:pt idx="6">
                  <c:v>FIIT</c:v>
                </c:pt>
                <c:pt idx="7">
                  <c:v>ÚM</c:v>
                </c:pt>
              </c:strCache>
            </c:strRef>
          </c:cat>
          <c:val>
            <c:numRef>
              <c:f>Hárok2!$D$423:$D$430</c:f>
              <c:numCache>
                <c:formatCode>General</c:formatCode>
                <c:ptCount val="8"/>
                <c:pt idx="0">
                  <c:v>34</c:v>
                </c:pt>
                <c:pt idx="1">
                  <c:v>15</c:v>
                </c:pt>
                <c:pt idx="2">
                  <c:v>98</c:v>
                </c:pt>
                <c:pt idx="3">
                  <c:v>150</c:v>
                </c:pt>
                <c:pt idx="4">
                  <c:v>1</c:v>
                </c:pt>
                <c:pt idx="5">
                  <c:v>26</c:v>
                </c:pt>
                <c:pt idx="6">
                  <c:v>1</c:v>
                </c:pt>
                <c:pt idx="7">
                  <c:v>0</c:v>
                </c:pt>
              </c:numCache>
            </c:numRef>
          </c:val>
        </c:ser>
        <c:ser>
          <c:idx val="2"/>
          <c:order val="2"/>
          <c:tx>
            <c:strRef>
              <c:f>Hárok2!$E$422</c:f>
              <c:strCache>
                <c:ptCount val="1"/>
                <c:pt idx="0">
                  <c:v>2013</c:v>
                </c:pt>
              </c:strCache>
            </c:strRef>
          </c:tx>
          <c:invertIfNegative val="0"/>
          <c:cat>
            <c:strRef>
              <c:f>Hárok2!$B$423:$B$430</c:f>
              <c:strCache>
                <c:ptCount val="8"/>
                <c:pt idx="0">
                  <c:v>SvF</c:v>
                </c:pt>
                <c:pt idx="1">
                  <c:v>SjF</c:v>
                </c:pt>
                <c:pt idx="2">
                  <c:v>FEI</c:v>
                </c:pt>
                <c:pt idx="3">
                  <c:v>FCHPT</c:v>
                </c:pt>
                <c:pt idx="4">
                  <c:v>FA</c:v>
                </c:pt>
                <c:pt idx="5">
                  <c:v>MTF</c:v>
                </c:pt>
                <c:pt idx="6">
                  <c:v>FIIT</c:v>
                </c:pt>
                <c:pt idx="7">
                  <c:v>ÚM</c:v>
                </c:pt>
              </c:strCache>
            </c:strRef>
          </c:cat>
          <c:val>
            <c:numRef>
              <c:f>Hárok2!$E$423:$E$430</c:f>
              <c:numCache>
                <c:formatCode>General</c:formatCode>
                <c:ptCount val="8"/>
                <c:pt idx="0">
                  <c:v>48</c:v>
                </c:pt>
                <c:pt idx="1">
                  <c:v>27</c:v>
                </c:pt>
                <c:pt idx="2">
                  <c:v>78</c:v>
                </c:pt>
                <c:pt idx="3">
                  <c:v>197</c:v>
                </c:pt>
                <c:pt idx="4">
                  <c:v>5</c:v>
                </c:pt>
                <c:pt idx="5">
                  <c:v>34</c:v>
                </c:pt>
                <c:pt idx="6">
                  <c:v>3</c:v>
                </c:pt>
                <c:pt idx="7">
                  <c:v>1</c:v>
                </c:pt>
              </c:numCache>
            </c:numRef>
          </c:val>
        </c:ser>
        <c:ser>
          <c:idx val="3"/>
          <c:order val="3"/>
          <c:tx>
            <c:strRef>
              <c:f>Hárok2!$F$422</c:f>
              <c:strCache>
                <c:ptCount val="1"/>
                <c:pt idx="0">
                  <c:v>2014</c:v>
                </c:pt>
              </c:strCache>
            </c:strRef>
          </c:tx>
          <c:invertIfNegative val="0"/>
          <c:cat>
            <c:strRef>
              <c:f>Hárok2!$B$423:$B$430</c:f>
              <c:strCache>
                <c:ptCount val="8"/>
                <c:pt idx="0">
                  <c:v>SvF</c:v>
                </c:pt>
                <c:pt idx="1">
                  <c:v>SjF</c:v>
                </c:pt>
                <c:pt idx="2">
                  <c:v>FEI</c:v>
                </c:pt>
                <c:pt idx="3">
                  <c:v>FCHPT</c:v>
                </c:pt>
                <c:pt idx="4">
                  <c:v>FA</c:v>
                </c:pt>
                <c:pt idx="5">
                  <c:v>MTF</c:v>
                </c:pt>
                <c:pt idx="6">
                  <c:v>FIIT</c:v>
                </c:pt>
                <c:pt idx="7">
                  <c:v>ÚM</c:v>
                </c:pt>
              </c:strCache>
            </c:strRef>
          </c:cat>
          <c:val>
            <c:numRef>
              <c:f>Hárok2!$F$423:$F$430</c:f>
              <c:numCache>
                <c:formatCode>General</c:formatCode>
                <c:ptCount val="8"/>
                <c:pt idx="0">
                  <c:v>51.48</c:v>
                </c:pt>
                <c:pt idx="1">
                  <c:v>11.4</c:v>
                </c:pt>
                <c:pt idx="2">
                  <c:v>96.61999999999999</c:v>
                </c:pt>
                <c:pt idx="3">
                  <c:v>208.06</c:v>
                </c:pt>
                <c:pt idx="4">
                  <c:v>0</c:v>
                </c:pt>
                <c:pt idx="5">
                  <c:v>31.99</c:v>
                </c:pt>
                <c:pt idx="6">
                  <c:v>2</c:v>
                </c:pt>
                <c:pt idx="7">
                  <c:v>2.25</c:v>
                </c:pt>
              </c:numCache>
            </c:numRef>
          </c:val>
        </c:ser>
        <c:dLbls>
          <c:showLegendKey val="0"/>
          <c:showVal val="0"/>
          <c:showCatName val="0"/>
          <c:showSerName val="0"/>
          <c:showPercent val="0"/>
          <c:showBubbleSize val="0"/>
        </c:dLbls>
        <c:gapWidth val="150"/>
        <c:shape val="cylinder"/>
        <c:axId val="103705600"/>
        <c:axId val="103711488"/>
        <c:axId val="0"/>
      </c:bar3DChart>
      <c:catAx>
        <c:axId val="103705600"/>
        <c:scaling>
          <c:orientation val="minMax"/>
        </c:scaling>
        <c:delete val="0"/>
        <c:axPos val="b"/>
        <c:majorTickMark val="none"/>
        <c:minorTickMark val="none"/>
        <c:tickLblPos val="nextTo"/>
        <c:crossAx val="103711488"/>
        <c:crosses val="autoZero"/>
        <c:auto val="1"/>
        <c:lblAlgn val="ctr"/>
        <c:lblOffset val="100"/>
        <c:noMultiLvlLbl val="0"/>
      </c:catAx>
      <c:valAx>
        <c:axId val="103711488"/>
        <c:scaling>
          <c:orientation val="minMax"/>
        </c:scaling>
        <c:delete val="0"/>
        <c:axPos val="l"/>
        <c:majorGridlines/>
        <c:numFmt formatCode="General" sourceLinked="1"/>
        <c:majorTickMark val="none"/>
        <c:minorTickMark val="none"/>
        <c:tickLblPos val="nextTo"/>
        <c:crossAx val="10370560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C</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Hárok2!$N$441</c:f>
              <c:strCache>
                <c:ptCount val="1"/>
                <c:pt idx="0">
                  <c:v>2011</c:v>
                </c:pt>
              </c:strCache>
            </c:strRef>
          </c:tx>
          <c:invertIfNegative val="0"/>
          <c:cat>
            <c:strRef>
              <c:f>Hárok2!$M$442:$M$449</c:f>
              <c:strCache>
                <c:ptCount val="8"/>
                <c:pt idx="0">
                  <c:v>SvF</c:v>
                </c:pt>
                <c:pt idx="1">
                  <c:v>SjF</c:v>
                </c:pt>
                <c:pt idx="2">
                  <c:v>FEI</c:v>
                </c:pt>
                <c:pt idx="3">
                  <c:v>FCHPT</c:v>
                </c:pt>
                <c:pt idx="4">
                  <c:v>FA</c:v>
                </c:pt>
                <c:pt idx="5">
                  <c:v>MTF</c:v>
                </c:pt>
                <c:pt idx="6">
                  <c:v>FIIT</c:v>
                </c:pt>
                <c:pt idx="7">
                  <c:v>ÚM</c:v>
                </c:pt>
              </c:strCache>
            </c:strRef>
          </c:cat>
          <c:val>
            <c:numRef>
              <c:f>Hárok2!$N$442:$N$449</c:f>
              <c:numCache>
                <c:formatCode>General</c:formatCode>
                <c:ptCount val="8"/>
                <c:pt idx="0">
                  <c:v>0</c:v>
                </c:pt>
                <c:pt idx="1">
                  <c:v>0</c:v>
                </c:pt>
                <c:pt idx="2">
                  <c:v>0</c:v>
                </c:pt>
                <c:pt idx="3">
                  <c:v>0</c:v>
                </c:pt>
                <c:pt idx="4">
                  <c:v>0</c:v>
                </c:pt>
                <c:pt idx="5">
                  <c:v>0</c:v>
                </c:pt>
                <c:pt idx="6">
                  <c:v>0</c:v>
                </c:pt>
              </c:numCache>
            </c:numRef>
          </c:val>
        </c:ser>
        <c:ser>
          <c:idx val="1"/>
          <c:order val="1"/>
          <c:tx>
            <c:strRef>
              <c:f>Hárok2!$O$441</c:f>
              <c:strCache>
                <c:ptCount val="1"/>
                <c:pt idx="0">
                  <c:v>2012</c:v>
                </c:pt>
              </c:strCache>
            </c:strRef>
          </c:tx>
          <c:invertIfNegative val="0"/>
          <c:cat>
            <c:strRef>
              <c:f>Hárok2!$M$442:$M$449</c:f>
              <c:strCache>
                <c:ptCount val="8"/>
                <c:pt idx="0">
                  <c:v>SvF</c:v>
                </c:pt>
                <c:pt idx="1">
                  <c:v>SjF</c:v>
                </c:pt>
                <c:pt idx="2">
                  <c:v>FEI</c:v>
                </c:pt>
                <c:pt idx="3">
                  <c:v>FCHPT</c:v>
                </c:pt>
                <c:pt idx="4">
                  <c:v>FA</c:v>
                </c:pt>
                <c:pt idx="5">
                  <c:v>MTF</c:v>
                </c:pt>
                <c:pt idx="6">
                  <c:v>FIIT</c:v>
                </c:pt>
                <c:pt idx="7">
                  <c:v>ÚM</c:v>
                </c:pt>
              </c:strCache>
            </c:strRef>
          </c:cat>
          <c:val>
            <c:numRef>
              <c:f>Hárok2!$O$442:$O$449</c:f>
              <c:numCache>
                <c:formatCode>General</c:formatCode>
                <c:ptCount val="8"/>
                <c:pt idx="0">
                  <c:v>0</c:v>
                </c:pt>
                <c:pt idx="1">
                  <c:v>0</c:v>
                </c:pt>
                <c:pt idx="2">
                  <c:v>0</c:v>
                </c:pt>
                <c:pt idx="3">
                  <c:v>0</c:v>
                </c:pt>
                <c:pt idx="4">
                  <c:v>0</c:v>
                </c:pt>
                <c:pt idx="5">
                  <c:v>0</c:v>
                </c:pt>
                <c:pt idx="6">
                  <c:v>0</c:v>
                </c:pt>
              </c:numCache>
            </c:numRef>
          </c:val>
        </c:ser>
        <c:ser>
          <c:idx val="2"/>
          <c:order val="2"/>
          <c:tx>
            <c:strRef>
              <c:f>Hárok2!$P$441</c:f>
              <c:strCache>
                <c:ptCount val="1"/>
                <c:pt idx="0">
                  <c:v>2013</c:v>
                </c:pt>
              </c:strCache>
            </c:strRef>
          </c:tx>
          <c:invertIfNegative val="0"/>
          <c:cat>
            <c:strRef>
              <c:f>Hárok2!$M$442:$M$449</c:f>
              <c:strCache>
                <c:ptCount val="8"/>
                <c:pt idx="0">
                  <c:v>SvF</c:v>
                </c:pt>
                <c:pt idx="1">
                  <c:v>SjF</c:v>
                </c:pt>
                <c:pt idx="2">
                  <c:v>FEI</c:v>
                </c:pt>
                <c:pt idx="3">
                  <c:v>FCHPT</c:v>
                </c:pt>
                <c:pt idx="4">
                  <c:v>FA</c:v>
                </c:pt>
                <c:pt idx="5">
                  <c:v>MTF</c:v>
                </c:pt>
                <c:pt idx="6">
                  <c:v>FIIT</c:v>
                </c:pt>
                <c:pt idx="7">
                  <c:v>ÚM</c:v>
                </c:pt>
              </c:strCache>
            </c:strRef>
          </c:cat>
          <c:val>
            <c:numRef>
              <c:f>Hárok2!$P$442:$P$449</c:f>
              <c:numCache>
                <c:formatCode>General</c:formatCode>
                <c:ptCount val="8"/>
                <c:pt idx="0">
                  <c:v>13.3</c:v>
                </c:pt>
                <c:pt idx="1">
                  <c:v>13.3</c:v>
                </c:pt>
                <c:pt idx="2">
                  <c:v>55.760000000000012</c:v>
                </c:pt>
                <c:pt idx="3">
                  <c:v>44.61</c:v>
                </c:pt>
                <c:pt idx="4">
                  <c:v>4</c:v>
                </c:pt>
                <c:pt idx="5">
                  <c:v>21.03</c:v>
                </c:pt>
                <c:pt idx="6">
                  <c:v>3</c:v>
                </c:pt>
                <c:pt idx="7">
                  <c:v>0</c:v>
                </c:pt>
              </c:numCache>
            </c:numRef>
          </c:val>
        </c:ser>
        <c:ser>
          <c:idx val="3"/>
          <c:order val="3"/>
          <c:tx>
            <c:strRef>
              <c:f>Hárok2!$Q$441</c:f>
              <c:strCache>
                <c:ptCount val="1"/>
                <c:pt idx="0">
                  <c:v>2014</c:v>
                </c:pt>
              </c:strCache>
            </c:strRef>
          </c:tx>
          <c:invertIfNegative val="0"/>
          <c:cat>
            <c:strRef>
              <c:f>Hárok2!$M$442:$M$449</c:f>
              <c:strCache>
                <c:ptCount val="8"/>
                <c:pt idx="0">
                  <c:v>SvF</c:v>
                </c:pt>
                <c:pt idx="1">
                  <c:v>SjF</c:v>
                </c:pt>
                <c:pt idx="2">
                  <c:v>FEI</c:v>
                </c:pt>
                <c:pt idx="3">
                  <c:v>FCHPT</c:v>
                </c:pt>
                <c:pt idx="4">
                  <c:v>FA</c:v>
                </c:pt>
                <c:pt idx="5">
                  <c:v>MTF</c:v>
                </c:pt>
                <c:pt idx="6">
                  <c:v>FIIT</c:v>
                </c:pt>
                <c:pt idx="7">
                  <c:v>ÚM</c:v>
                </c:pt>
              </c:strCache>
            </c:strRef>
          </c:cat>
          <c:val>
            <c:numRef>
              <c:f>Hárok2!$Q$442:$Q$449</c:f>
              <c:numCache>
                <c:formatCode>General</c:formatCode>
                <c:ptCount val="8"/>
                <c:pt idx="0">
                  <c:v>46</c:v>
                </c:pt>
                <c:pt idx="1">
                  <c:v>24</c:v>
                </c:pt>
                <c:pt idx="2">
                  <c:v>50.9</c:v>
                </c:pt>
                <c:pt idx="3">
                  <c:v>11</c:v>
                </c:pt>
                <c:pt idx="4">
                  <c:v>5</c:v>
                </c:pt>
                <c:pt idx="5">
                  <c:v>72.099999999999994</c:v>
                </c:pt>
                <c:pt idx="6">
                  <c:v>3</c:v>
                </c:pt>
                <c:pt idx="7">
                  <c:v>3</c:v>
                </c:pt>
              </c:numCache>
            </c:numRef>
          </c:val>
        </c:ser>
        <c:dLbls>
          <c:showLegendKey val="0"/>
          <c:showVal val="0"/>
          <c:showCatName val="0"/>
          <c:showSerName val="0"/>
          <c:showPercent val="0"/>
          <c:showBubbleSize val="0"/>
        </c:dLbls>
        <c:gapWidth val="150"/>
        <c:shape val="cylinder"/>
        <c:axId val="105909632"/>
        <c:axId val="105919616"/>
        <c:axId val="0"/>
      </c:bar3DChart>
      <c:catAx>
        <c:axId val="105909632"/>
        <c:scaling>
          <c:orientation val="minMax"/>
        </c:scaling>
        <c:delete val="0"/>
        <c:axPos val="b"/>
        <c:majorTickMark val="none"/>
        <c:minorTickMark val="none"/>
        <c:tickLblPos val="nextTo"/>
        <c:crossAx val="105919616"/>
        <c:crosses val="autoZero"/>
        <c:auto val="1"/>
        <c:lblAlgn val="ctr"/>
        <c:lblOffset val="100"/>
        <c:noMultiLvlLbl val="0"/>
      </c:catAx>
      <c:valAx>
        <c:axId val="105919616"/>
        <c:scaling>
          <c:orientation val="minMax"/>
        </c:scaling>
        <c:delete val="0"/>
        <c:axPos val="l"/>
        <c:majorGridlines/>
        <c:numFmt formatCode="General" sourceLinked="1"/>
        <c:majorTickMark val="none"/>
        <c:minorTickMark val="none"/>
        <c:tickLblPos val="nextTo"/>
        <c:crossAx val="10590963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a:t>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Hárok2!$C$438</c:f>
              <c:strCache>
                <c:ptCount val="1"/>
                <c:pt idx="0">
                  <c:v>2011</c:v>
                </c:pt>
              </c:strCache>
            </c:strRef>
          </c:tx>
          <c:invertIfNegative val="0"/>
          <c:cat>
            <c:strRef>
              <c:f>Hárok2!$B$439:$B$446</c:f>
              <c:strCache>
                <c:ptCount val="8"/>
                <c:pt idx="0">
                  <c:v>SvF</c:v>
                </c:pt>
                <c:pt idx="1">
                  <c:v>SjF</c:v>
                </c:pt>
                <c:pt idx="2">
                  <c:v>FEI</c:v>
                </c:pt>
                <c:pt idx="3">
                  <c:v>FCHPT</c:v>
                </c:pt>
                <c:pt idx="4">
                  <c:v>FA</c:v>
                </c:pt>
                <c:pt idx="5">
                  <c:v>MTF</c:v>
                </c:pt>
                <c:pt idx="6">
                  <c:v>FIIT</c:v>
                </c:pt>
                <c:pt idx="7">
                  <c:v>ÚM</c:v>
                </c:pt>
              </c:strCache>
            </c:strRef>
          </c:cat>
          <c:val>
            <c:numRef>
              <c:f>Hárok2!$C$439:$C$446</c:f>
              <c:numCache>
                <c:formatCode>General</c:formatCode>
                <c:ptCount val="8"/>
                <c:pt idx="0">
                  <c:v>1683</c:v>
                </c:pt>
                <c:pt idx="1">
                  <c:v>448</c:v>
                </c:pt>
                <c:pt idx="2">
                  <c:v>1170</c:v>
                </c:pt>
                <c:pt idx="3">
                  <c:v>940</c:v>
                </c:pt>
                <c:pt idx="4">
                  <c:v>752</c:v>
                </c:pt>
                <c:pt idx="5">
                  <c:v>1218</c:v>
                </c:pt>
                <c:pt idx="6">
                  <c:v>271</c:v>
                </c:pt>
                <c:pt idx="7">
                  <c:v>207</c:v>
                </c:pt>
              </c:numCache>
            </c:numRef>
          </c:val>
        </c:ser>
        <c:ser>
          <c:idx val="1"/>
          <c:order val="1"/>
          <c:tx>
            <c:strRef>
              <c:f>Hárok2!$D$438</c:f>
              <c:strCache>
                <c:ptCount val="1"/>
                <c:pt idx="0">
                  <c:v>2012</c:v>
                </c:pt>
              </c:strCache>
            </c:strRef>
          </c:tx>
          <c:invertIfNegative val="0"/>
          <c:cat>
            <c:strRef>
              <c:f>Hárok2!$B$439:$B$446</c:f>
              <c:strCache>
                <c:ptCount val="8"/>
                <c:pt idx="0">
                  <c:v>SvF</c:v>
                </c:pt>
                <c:pt idx="1">
                  <c:v>SjF</c:v>
                </c:pt>
                <c:pt idx="2">
                  <c:v>FEI</c:v>
                </c:pt>
                <c:pt idx="3">
                  <c:v>FCHPT</c:v>
                </c:pt>
                <c:pt idx="4">
                  <c:v>FA</c:v>
                </c:pt>
                <c:pt idx="5">
                  <c:v>MTF</c:v>
                </c:pt>
                <c:pt idx="6">
                  <c:v>FIIT</c:v>
                </c:pt>
                <c:pt idx="7">
                  <c:v>ÚM</c:v>
                </c:pt>
              </c:strCache>
            </c:strRef>
          </c:cat>
          <c:val>
            <c:numRef>
              <c:f>Hárok2!$D$439:$D$446</c:f>
              <c:numCache>
                <c:formatCode>General</c:formatCode>
                <c:ptCount val="8"/>
                <c:pt idx="0">
                  <c:v>1512</c:v>
                </c:pt>
                <c:pt idx="1">
                  <c:v>475</c:v>
                </c:pt>
                <c:pt idx="2">
                  <c:v>1357</c:v>
                </c:pt>
                <c:pt idx="3">
                  <c:v>1082</c:v>
                </c:pt>
                <c:pt idx="4">
                  <c:v>459</c:v>
                </c:pt>
                <c:pt idx="5">
                  <c:v>863</c:v>
                </c:pt>
                <c:pt idx="6">
                  <c:v>150</c:v>
                </c:pt>
                <c:pt idx="7">
                  <c:v>162</c:v>
                </c:pt>
              </c:numCache>
            </c:numRef>
          </c:val>
        </c:ser>
        <c:ser>
          <c:idx val="2"/>
          <c:order val="2"/>
          <c:tx>
            <c:strRef>
              <c:f>Hárok2!$E$438</c:f>
              <c:strCache>
                <c:ptCount val="1"/>
                <c:pt idx="0">
                  <c:v>2013</c:v>
                </c:pt>
              </c:strCache>
            </c:strRef>
          </c:tx>
          <c:invertIfNegative val="0"/>
          <c:cat>
            <c:strRef>
              <c:f>Hárok2!$B$439:$B$446</c:f>
              <c:strCache>
                <c:ptCount val="8"/>
                <c:pt idx="0">
                  <c:v>SvF</c:v>
                </c:pt>
                <c:pt idx="1">
                  <c:v>SjF</c:v>
                </c:pt>
                <c:pt idx="2">
                  <c:v>FEI</c:v>
                </c:pt>
                <c:pt idx="3">
                  <c:v>FCHPT</c:v>
                </c:pt>
                <c:pt idx="4">
                  <c:v>FA</c:v>
                </c:pt>
                <c:pt idx="5">
                  <c:v>MTF</c:v>
                </c:pt>
                <c:pt idx="6">
                  <c:v>FIIT</c:v>
                </c:pt>
                <c:pt idx="7">
                  <c:v>ÚM</c:v>
                </c:pt>
              </c:strCache>
            </c:strRef>
          </c:cat>
          <c:val>
            <c:numRef>
              <c:f>Hárok2!$E$439:$E$446</c:f>
              <c:numCache>
                <c:formatCode>General</c:formatCode>
                <c:ptCount val="8"/>
                <c:pt idx="0">
                  <c:v>1436</c:v>
                </c:pt>
                <c:pt idx="1">
                  <c:v>373</c:v>
                </c:pt>
                <c:pt idx="2">
                  <c:v>966</c:v>
                </c:pt>
                <c:pt idx="3">
                  <c:v>869</c:v>
                </c:pt>
                <c:pt idx="4">
                  <c:v>367</c:v>
                </c:pt>
                <c:pt idx="5">
                  <c:v>590</c:v>
                </c:pt>
                <c:pt idx="6">
                  <c:v>159</c:v>
                </c:pt>
                <c:pt idx="7">
                  <c:v>132</c:v>
                </c:pt>
              </c:numCache>
            </c:numRef>
          </c:val>
        </c:ser>
        <c:ser>
          <c:idx val="3"/>
          <c:order val="3"/>
          <c:tx>
            <c:strRef>
              <c:f>Hárok2!$F$438</c:f>
              <c:strCache>
                <c:ptCount val="1"/>
                <c:pt idx="0">
                  <c:v>2014</c:v>
                </c:pt>
              </c:strCache>
            </c:strRef>
          </c:tx>
          <c:invertIfNegative val="0"/>
          <c:cat>
            <c:strRef>
              <c:f>Hárok2!$B$439:$B$446</c:f>
              <c:strCache>
                <c:ptCount val="8"/>
                <c:pt idx="0">
                  <c:v>SvF</c:v>
                </c:pt>
                <c:pt idx="1">
                  <c:v>SjF</c:v>
                </c:pt>
                <c:pt idx="2">
                  <c:v>FEI</c:v>
                </c:pt>
                <c:pt idx="3">
                  <c:v>FCHPT</c:v>
                </c:pt>
                <c:pt idx="4">
                  <c:v>FA</c:v>
                </c:pt>
                <c:pt idx="5">
                  <c:v>MTF</c:v>
                </c:pt>
                <c:pt idx="6">
                  <c:v>FIIT</c:v>
                </c:pt>
                <c:pt idx="7">
                  <c:v>ÚM</c:v>
                </c:pt>
              </c:strCache>
            </c:strRef>
          </c:cat>
          <c:val>
            <c:numRef>
              <c:f>Hárok2!$F$439:$F$446</c:f>
              <c:numCache>
                <c:formatCode>General</c:formatCode>
                <c:ptCount val="8"/>
                <c:pt idx="0">
                  <c:v>1499.26</c:v>
                </c:pt>
                <c:pt idx="1">
                  <c:v>334.4</c:v>
                </c:pt>
                <c:pt idx="2">
                  <c:v>879.75</c:v>
                </c:pt>
                <c:pt idx="3">
                  <c:v>776.34999999999911</c:v>
                </c:pt>
                <c:pt idx="4">
                  <c:v>365.46</c:v>
                </c:pt>
                <c:pt idx="5">
                  <c:v>607.93999999999949</c:v>
                </c:pt>
                <c:pt idx="6">
                  <c:v>265.47999999999956</c:v>
                </c:pt>
                <c:pt idx="7">
                  <c:v>97.35</c:v>
                </c:pt>
              </c:numCache>
            </c:numRef>
          </c:val>
        </c:ser>
        <c:dLbls>
          <c:showLegendKey val="0"/>
          <c:showVal val="0"/>
          <c:showCatName val="0"/>
          <c:showSerName val="0"/>
          <c:showPercent val="0"/>
          <c:showBubbleSize val="0"/>
        </c:dLbls>
        <c:gapWidth val="150"/>
        <c:shape val="cylinder"/>
        <c:axId val="105955328"/>
        <c:axId val="105956864"/>
        <c:axId val="0"/>
      </c:bar3DChart>
      <c:catAx>
        <c:axId val="105955328"/>
        <c:scaling>
          <c:orientation val="minMax"/>
        </c:scaling>
        <c:delete val="0"/>
        <c:axPos val="b"/>
        <c:majorTickMark val="none"/>
        <c:minorTickMark val="none"/>
        <c:tickLblPos val="nextTo"/>
        <c:crossAx val="105956864"/>
        <c:crosses val="autoZero"/>
        <c:auto val="1"/>
        <c:lblAlgn val="ctr"/>
        <c:lblOffset val="100"/>
        <c:noMultiLvlLbl val="0"/>
      </c:catAx>
      <c:valAx>
        <c:axId val="105956864"/>
        <c:scaling>
          <c:orientation val="minMax"/>
        </c:scaling>
        <c:delete val="0"/>
        <c:axPos val="l"/>
        <c:majorGridlines/>
        <c:numFmt formatCode="General" sourceLinked="1"/>
        <c:majorTickMark val="none"/>
        <c:minorTickMark val="none"/>
        <c:tickLblPos val="nextTo"/>
        <c:crossAx val="10595532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Hárok2!$G$535:$L$535</c:f>
              <c:strCache>
                <c:ptCount val="6"/>
                <c:pt idx="0">
                  <c:v>2009</c:v>
                </c:pt>
                <c:pt idx="1">
                  <c:v>2010</c:v>
                </c:pt>
                <c:pt idx="2">
                  <c:v>2011</c:v>
                </c:pt>
                <c:pt idx="3">
                  <c:v>2012</c:v>
                </c:pt>
                <c:pt idx="4">
                  <c:v>2013</c:v>
                </c:pt>
                <c:pt idx="5">
                  <c:v>2014</c:v>
                </c:pt>
              </c:strCache>
            </c:strRef>
          </c:cat>
          <c:val>
            <c:numRef>
              <c:f>Hárok2!$G$536:$L$536</c:f>
              <c:numCache>
                <c:formatCode>General</c:formatCode>
                <c:ptCount val="6"/>
                <c:pt idx="0">
                  <c:v>645</c:v>
                </c:pt>
                <c:pt idx="1">
                  <c:v>712</c:v>
                </c:pt>
                <c:pt idx="2">
                  <c:v>752</c:v>
                </c:pt>
                <c:pt idx="3">
                  <c:v>799</c:v>
                </c:pt>
                <c:pt idx="4">
                  <c:v>941</c:v>
                </c:pt>
                <c:pt idx="5">
                  <c:v>885</c:v>
                </c:pt>
              </c:numCache>
            </c:numRef>
          </c:val>
        </c:ser>
        <c:dLbls>
          <c:showLegendKey val="0"/>
          <c:showVal val="0"/>
          <c:showCatName val="0"/>
          <c:showSerName val="0"/>
          <c:showPercent val="0"/>
          <c:showBubbleSize val="0"/>
        </c:dLbls>
        <c:gapWidth val="150"/>
        <c:shape val="cylinder"/>
        <c:axId val="105998208"/>
        <c:axId val="105999744"/>
        <c:axId val="0"/>
      </c:bar3DChart>
      <c:catAx>
        <c:axId val="105998208"/>
        <c:scaling>
          <c:orientation val="minMax"/>
        </c:scaling>
        <c:delete val="0"/>
        <c:axPos val="b"/>
        <c:majorTickMark val="out"/>
        <c:minorTickMark val="none"/>
        <c:tickLblPos val="nextTo"/>
        <c:crossAx val="105999744"/>
        <c:crosses val="autoZero"/>
        <c:auto val="1"/>
        <c:lblAlgn val="ctr"/>
        <c:lblOffset val="100"/>
        <c:noMultiLvlLbl val="0"/>
      </c:catAx>
      <c:valAx>
        <c:axId val="105999744"/>
        <c:scaling>
          <c:orientation val="minMax"/>
        </c:scaling>
        <c:delete val="0"/>
        <c:axPos val="l"/>
        <c:majorGridlines/>
        <c:numFmt formatCode="General" sourceLinked="1"/>
        <c:majorTickMark val="out"/>
        <c:minorTickMark val="none"/>
        <c:tickLblPos val="nextTo"/>
        <c:crossAx val="10599820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1618547681563"/>
          <c:y val="7.6007815317015087E-2"/>
          <c:w val="0.84892825896762902"/>
          <c:h val="0.69755717395393757"/>
        </c:manualLayout>
      </c:layout>
      <c:lineChart>
        <c:grouping val="standard"/>
        <c:varyColors val="0"/>
        <c:ser>
          <c:idx val="0"/>
          <c:order val="0"/>
          <c:tx>
            <c:strRef>
              <c:f>'Tab5_6_vývoj počtu študentov'!$A$3</c:f>
              <c:strCache>
                <c:ptCount val="1"/>
                <c:pt idx="0">
                  <c:v>I. stupeň</c:v>
                </c:pt>
              </c:strCache>
            </c:strRef>
          </c:tx>
          <c:spPr>
            <a:ln w="38100"/>
          </c:spPr>
          <c:marker>
            <c:symbol val="none"/>
          </c:marker>
          <c:dLbls>
            <c:dLblPos val="t"/>
            <c:showLegendKey val="0"/>
            <c:showVal val="1"/>
            <c:showCatName val="0"/>
            <c:showSerName val="0"/>
            <c:showPercent val="0"/>
            <c:showBubbleSize val="0"/>
            <c:showLeaderLines val="0"/>
          </c:dLbls>
          <c:cat>
            <c:strRef>
              <c:f>'Tab5_6_vývoj počtu študentov'!$B$2:$F$2</c:f>
              <c:strCache>
                <c:ptCount val="5"/>
                <c:pt idx="0">
                  <c:v>2009/2010</c:v>
                </c:pt>
                <c:pt idx="1">
                  <c:v>2010/2011</c:v>
                </c:pt>
                <c:pt idx="2">
                  <c:v>2011/2012</c:v>
                </c:pt>
                <c:pt idx="3">
                  <c:v>2012/2013</c:v>
                </c:pt>
                <c:pt idx="4">
                  <c:v>2013/2014</c:v>
                </c:pt>
              </c:strCache>
            </c:strRef>
          </c:cat>
          <c:val>
            <c:numRef>
              <c:f>'Tab5_6_vývoj počtu študentov'!$B$3:$F$3</c:f>
              <c:numCache>
                <c:formatCode>#,##0</c:formatCode>
                <c:ptCount val="5"/>
                <c:pt idx="0">
                  <c:v>10635</c:v>
                </c:pt>
                <c:pt idx="1">
                  <c:v>10508</c:v>
                </c:pt>
                <c:pt idx="2">
                  <c:v>10573</c:v>
                </c:pt>
                <c:pt idx="3">
                  <c:v>10780</c:v>
                </c:pt>
                <c:pt idx="4">
                  <c:v>10582</c:v>
                </c:pt>
              </c:numCache>
            </c:numRef>
          </c:val>
          <c:smooth val="0"/>
        </c:ser>
        <c:ser>
          <c:idx val="1"/>
          <c:order val="1"/>
          <c:tx>
            <c:strRef>
              <c:f>'Tab5_6_vývoj počtu študentov'!$A$4</c:f>
              <c:strCache>
                <c:ptCount val="1"/>
                <c:pt idx="0">
                  <c:v>II. stupeň</c:v>
                </c:pt>
              </c:strCache>
            </c:strRef>
          </c:tx>
          <c:spPr>
            <a:ln w="38100"/>
          </c:spPr>
          <c:marker>
            <c:symbol val="none"/>
          </c:marker>
          <c:dLbls>
            <c:dLblPos val="t"/>
            <c:showLegendKey val="0"/>
            <c:showVal val="1"/>
            <c:showCatName val="0"/>
            <c:showSerName val="0"/>
            <c:showPercent val="0"/>
            <c:showBubbleSize val="0"/>
            <c:showLeaderLines val="0"/>
          </c:dLbls>
          <c:cat>
            <c:strRef>
              <c:f>'Tab5_6_vývoj počtu študentov'!$B$2:$F$2</c:f>
              <c:strCache>
                <c:ptCount val="5"/>
                <c:pt idx="0">
                  <c:v>2009/2010</c:v>
                </c:pt>
                <c:pt idx="1">
                  <c:v>2010/2011</c:v>
                </c:pt>
                <c:pt idx="2">
                  <c:v>2011/2012</c:v>
                </c:pt>
                <c:pt idx="3">
                  <c:v>2012/2013</c:v>
                </c:pt>
                <c:pt idx="4">
                  <c:v>2013/2014</c:v>
                </c:pt>
              </c:strCache>
            </c:strRef>
          </c:cat>
          <c:val>
            <c:numRef>
              <c:f>'Tab5_6_vývoj počtu študentov'!$B$4:$F$4</c:f>
              <c:numCache>
                <c:formatCode>#,##0</c:formatCode>
                <c:ptCount val="5"/>
                <c:pt idx="0">
                  <c:v>5227</c:v>
                </c:pt>
                <c:pt idx="1">
                  <c:v>5424</c:v>
                </c:pt>
                <c:pt idx="2">
                  <c:v>5197</c:v>
                </c:pt>
                <c:pt idx="3">
                  <c:v>4640</c:v>
                </c:pt>
                <c:pt idx="4">
                  <c:v>4419</c:v>
                </c:pt>
              </c:numCache>
            </c:numRef>
          </c:val>
          <c:smooth val="0"/>
        </c:ser>
        <c:ser>
          <c:idx val="2"/>
          <c:order val="2"/>
          <c:tx>
            <c:strRef>
              <c:f>'Tab5_6_vývoj počtu študentov'!$A$5</c:f>
              <c:strCache>
                <c:ptCount val="1"/>
                <c:pt idx="0">
                  <c:v>III. stupeň</c:v>
                </c:pt>
              </c:strCache>
            </c:strRef>
          </c:tx>
          <c:spPr>
            <a:ln w="38100"/>
          </c:spPr>
          <c:marker>
            <c:symbol val="none"/>
          </c:marker>
          <c:dLbls>
            <c:dLblPos val="t"/>
            <c:showLegendKey val="0"/>
            <c:showVal val="1"/>
            <c:showCatName val="0"/>
            <c:showSerName val="0"/>
            <c:showPercent val="0"/>
            <c:showBubbleSize val="0"/>
            <c:showLeaderLines val="0"/>
          </c:dLbls>
          <c:cat>
            <c:strRef>
              <c:f>'Tab5_6_vývoj počtu študentov'!$B$2:$F$2</c:f>
              <c:strCache>
                <c:ptCount val="5"/>
                <c:pt idx="0">
                  <c:v>2009/2010</c:v>
                </c:pt>
                <c:pt idx="1">
                  <c:v>2010/2011</c:v>
                </c:pt>
                <c:pt idx="2">
                  <c:v>2011/2012</c:v>
                </c:pt>
                <c:pt idx="3">
                  <c:v>2012/2013</c:v>
                </c:pt>
                <c:pt idx="4">
                  <c:v>2013/2014</c:v>
                </c:pt>
              </c:strCache>
            </c:strRef>
          </c:cat>
          <c:val>
            <c:numRef>
              <c:f>'Tab5_6_vývoj počtu študentov'!$B$5:$F$5</c:f>
              <c:numCache>
                <c:formatCode>#,##0</c:formatCode>
                <c:ptCount val="5"/>
                <c:pt idx="0">
                  <c:v>1042</c:v>
                </c:pt>
                <c:pt idx="1">
                  <c:v>1156</c:v>
                </c:pt>
                <c:pt idx="2">
                  <c:v>1198</c:v>
                </c:pt>
                <c:pt idx="3">
                  <c:v>1093</c:v>
                </c:pt>
                <c:pt idx="4">
                  <c:v>957</c:v>
                </c:pt>
              </c:numCache>
            </c:numRef>
          </c:val>
          <c:smooth val="0"/>
        </c:ser>
        <c:dLbls>
          <c:showLegendKey val="0"/>
          <c:showVal val="1"/>
          <c:showCatName val="0"/>
          <c:showSerName val="0"/>
          <c:showPercent val="0"/>
          <c:showBubbleSize val="0"/>
        </c:dLbls>
        <c:marker val="1"/>
        <c:smooth val="0"/>
        <c:axId val="113305088"/>
        <c:axId val="113306624"/>
      </c:lineChart>
      <c:catAx>
        <c:axId val="113305088"/>
        <c:scaling>
          <c:orientation val="minMax"/>
        </c:scaling>
        <c:delete val="0"/>
        <c:axPos val="b"/>
        <c:majorTickMark val="out"/>
        <c:minorTickMark val="none"/>
        <c:tickLblPos val="nextTo"/>
        <c:crossAx val="113306624"/>
        <c:crosses val="autoZero"/>
        <c:auto val="1"/>
        <c:lblAlgn val="ctr"/>
        <c:lblOffset val="100"/>
        <c:noMultiLvlLbl val="0"/>
      </c:catAx>
      <c:valAx>
        <c:axId val="113306624"/>
        <c:scaling>
          <c:orientation val="minMax"/>
        </c:scaling>
        <c:delete val="0"/>
        <c:axPos val="l"/>
        <c:majorGridlines/>
        <c:numFmt formatCode="#,##0" sourceLinked="1"/>
        <c:majorTickMark val="out"/>
        <c:minorTickMark val="none"/>
        <c:tickLblPos val="nextTo"/>
        <c:crossAx val="113305088"/>
        <c:crosses val="autoZero"/>
        <c:crossBetween val="between"/>
      </c:valAx>
    </c:plotArea>
    <c:legend>
      <c:legendPos val="b"/>
      <c:overlay val="0"/>
    </c:legend>
    <c:plotVisOnly val="1"/>
    <c:dispBlanksAs val="gap"/>
    <c:showDLblsOverMax val="0"/>
  </c:chart>
  <c:spPr>
    <a:noFill/>
    <a:ln>
      <a:noFill/>
    </a:ln>
  </c:spPr>
  <c:txPr>
    <a:bodyPr/>
    <a:lstStyle/>
    <a:p>
      <a:pPr>
        <a:defRPr>
          <a:latin typeface="+mj-lt"/>
        </a:defRPr>
      </a:pPr>
      <a:endParaRPr lang="sk-SK"/>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Hárok2!$G$554:$L$554</c:f>
              <c:strCache>
                <c:ptCount val="6"/>
                <c:pt idx="0">
                  <c:v>2009</c:v>
                </c:pt>
                <c:pt idx="1">
                  <c:v>2010</c:v>
                </c:pt>
                <c:pt idx="2">
                  <c:v>2011</c:v>
                </c:pt>
                <c:pt idx="3">
                  <c:v>2012</c:v>
                </c:pt>
                <c:pt idx="4">
                  <c:v>2013</c:v>
                </c:pt>
                <c:pt idx="5">
                  <c:v>2014</c:v>
                </c:pt>
              </c:strCache>
            </c:strRef>
          </c:cat>
          <c:val>
            <c:numRef>
              <c:f>Hárok2!$G$555:$L$555</c:f>
              <c:numCache>
                <c:formatCode>General</c:formatCode>
                <c:ptCount val="6"/>
                <c:pt idx="0">
                  <c:v>4.3</c:v>
                </c:pt>
                <c:pt idx="1">
                  <c:v>5.3</c:v>
                </c:pt>
                <c:pt idx="2">
                  <c:v>5.3</c:v>
                </c:pt>
                <c:pt idx="3">
                  <c:v>4.8</c:v>
                </c:pt>
                <c:pt idx="4">
                  <c:v>8.1</c:v>
                </c:pt>
                <c:pt idx="5">
                  <c:v>11.4</c:v>
                </c:pt>
              </c:numCache>
            </c:numRef>
          </c:val>
        </c:ser>
        <c:dLbls>
          <c:showLegendKey val="0"/>
          <c:showVal val="0"/>
          <c:showCatName val="0"/>
          <c:showSerName val="0"/>
          <c:showPercent val="0"/>
          <c:showBubbleSize val="0"/>
        </c:dLbls>
        <c:gapWidth val="150"/>
        <c:shape val="cylinder"/>
        <c:axId val="106032128"/>
        <c:axId val="106038016"/>
        <c:axId val="0"/>
      </c:bar3DChart>
      <c:catAx>
        <c:axId val="106032128"/>
        <c:scaling>
          <c:orientation val="minMax"/>
        </c:scaling>
        <c:delete val="0"/>
        <c:axPos val="b"/>
        <c:majorTickMark val="out"/>
        <c:minorTickMark val="none"/>
        <c:tickLblPos val="nextTo"/>
        <c:crossAx val="106038016"/>
        <c:crosses val="autoZero"/>
        <c:auto val="1"/>
        <c:lblAlgn val="ctr"/>
        <c:lblOffset val="100"/>
        <c:noMultiLvlLbl val="0"/>
      </c:catAx>
      <c:valAx>
        <c:axId val="106038016"/>
        <c:scaling>
          <c:orientation val="minMax"/>
        </c:scaling>
        <c:delete val="0"/>
        <c:axPos val="l"/>
        <c:majorGridlines/>
        <c:numFmt formatCode="General" sourceLinked="1"/>
        <c:majorTickMark val="out"/>
        <c:minorTickMark val="none"/>
        <c:tickLblPos val="nextTo"/>
        <c:crossAx val="106032128"/>
        <c:crosses val="autoZero"/>
        <c:crossBetween val="between"/>
      </c:valAx>
    </c:plotArea>
    <c:plotVisOnly val="1"/>
    <c:dispBlanksAs val="gap"/>
    <c:showDLblsOverMax val="0"/>
  </c:chart>
  <c:spPr>
    <a:ln>
      <a:noFill/>
    </a:ln>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Hárok2!$G$563:$L$563</c:f>
              <c:strCache>
                <c:ptCount val="6"/>
                <c:pt idx="0">
                  <c:v>2009</c:v>
                </c:pt>
                <c:pt idx="1">
                  <c:v>2010</c:v>
                </c:pt>
                <c:pt idx="2">
                  <c:v>2011</c:v>
                </c:pt>
                <c:pt idx="3">
                  <c:v>2012</c:v>
                </c:pt>
                <c:pt idx="4">
                  <c:v>2013</c:v>
                </c:pt>
                <c:pt idx="5">
                  <c:v>2014</c:v>
                </c:pt>
              </c:strCache>
            </c:strRef>
          </c:cat>
          <c:val>
            <c:numRef>
              <c:f>Hárok2!$G$564:$L$564</c:f>
              <c:numCache>
                <c:formatCode>General</c:formatCode>
                <c:ptCount val="6"/>
                <c:pt idx="0">
                  <c:v>40.300000000000004</c:v>
                </c:pt>
                <c:pt idx="1">
                  <c:v>41.2</c:v>
                </c:pt>
                <c:pt idx="2">
                  <c:v>39.5</c:v>
                </c:pt>
                <c:pt idx="3">
                  <c:v>33.5</c:v>
                </c:pt>
                <c:pt idx="4">
                  <c:v>30</c:v>
                </c:pt>
                <c:pt idx="5">
                  <c:v>32.9</c:v>
                </c:pt>
              </c:numCache>
            </c:numRef>
          </c:val>
        </c:ser>
        <c:dLbls>
          <c:showLegendKey val="0"/>
          <c:showVal val="0"/>
          <c:showCatName val="0"/>
          <c:showSerName val="0"/>
          <c:showPercent val="0"/>
          <c:showBubbleSize val="0"/>
        </c:dLbls>
        <c:gapWidth val="150"/>
        <c:shape val="cylinder"/>
        <c:axId val="106058112"/>
        <c:axId val="106059648"/>
        <c:axId val="0"/>
      </c:bar3DChart>
      <c:catAx>
        <c:axId val="106058112"/>
        <c:scaling>
          <c:orientation val="minMax"/>
        </c:scaling>
        <c:delete val="0"/>
        <c:axPos val="b"/>
        <c:majorTickMark val="out"/>
        <c:minorTickMark val="none"/>
        <c:tickLblPos val="nextTo"/>
        <c:crossAx val="106059648"/>
        <c:crosses val="autoZero"/>
        <c:auto val="1"/>
        <c:lblAlgn val="ctr"/>
        <c:lblOffset val="100"/>
        <c:noMultiLvlLbl val="0"/>
      </c:catAx>
      <c:valAx>
        <c:axId val="106059648"/>
        <c:scaling>
          <c:orientation val="minMax"/>
        </c:scaling>
        <c:delete val="0"/>
        <c:axPos val="l"/>
        <c:majorGridlines/>
        <c:numFmt formatCode="General" sourceLinked="1"/>
        <c:majorTickMark val="out"/>
        <c:minorTickMark val="none"/>
        <c:tickLblPos val="nextTo"/>
        <c:crossAx val="106058112"/>
        <c:crosses val="autoZero"/>
        <c:crossBetween val="between"/>
      </c:valAx>
    </c:plotArea>
    <c:plotVisOnly val="1"/>
    <c:dispBlanksAs val="gap"/>
    <c:showDLblsOverMax val="0"/>
  </c:chart>
  <c:spPr>
    <a:ln>
      <a:no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Hárok2!$B$514:$E$514</c:f>
              <c:numCache>
                <c:formatCode>General</c:formatCode>
                <c:ptCount val="4"/>
                <c:pt idx="0">
                  <c:v>2011</c:v>
                </c:pt>
                <c:pt idx="1">
                  <c:v>2012</c:v>
                </c:pt>
                <c:pt idx="2">
                  <c:v>2013</c:v>
                </c:pt>
                <c:pt idx="3">
                  <c:v>2014</c:v>
                </c:pt>
              </c:numCache>
            </c:numRef>
          </c:cat>
          <c:val>
            <c:numRef>
              <c:f>Hárok2!$B$515:$E$515</c:f>
              <c:numCache>
                <c:formatCode>#,##0_ ;\-#,##0\ </c:formatCode>
                <c:ptCount val="4"/>
                <c:pt idx="0">
                  <c:v>1546954</c:v>
                </c:pt>
                <c:pt idx="1">
                  <c:v>1801381.3900000001</c:v>
                </c:pt>
                <c:pt idx="2">
                  <c:v>1702005.06</c:v>
                </c:pt>
                <c:pt idx="3">
                  <c:v>1700657</c:v>
                </c:pt>
              </c:numCache>
            </c:numRef>
          </c:val>
        </c:ser>
        <c:dLbls>
          <c:showLegendKey val="0"/>
          <c:showVal val="0"/>
          <c:showCatName val="0"/>
          <c:showSerName val="0"/>
          <c:showPercent val="0"/>
          <c:showBubbleSize val="0"/>
        </c:dLbls>
        <c:gapWidth val="150"/>
        <c:shape val="cylinder"/>
        <c:axId val="106071552"/>
        <c:axId val="106073088"/>
        <c:axId val="0"/>
      </c:bar3DChart>
      <c:catAx>
        <c:axId val="106071552"/>
        <c:scaling>
          <c:orientation val="minMax"/>
        </c:scaling>
        <c:delete val="0"/>
        <c:axPos val="b"/>
        <c:numFmt formatCode="General" sourceLinked="1"/>
        <c:majorTickMark val="out"/>
        <c:minorTickMark val="none"/>
        <c:tickLblPos val="nextTo"/>
        <c:crossAx val="106073088"/>
        <c:crosses val="autoZero"/>
        <c:auto val="1"/>
        <c:lblAlgn val="ctr"/>
        <c:lblOffset val="100"/>
        <c:noMultiLvlLbl val="0"/>
      </c:catAx>
      <c:valAx>
        <c:axId val="106073088"/>
        <c:scaling>
          <c:orientation val="minMax"/>
        </c:scaling>
        <c:delete val="0"/>
        <c:axPos val="l"/>
        <c:majorGridlines/>
        <c:numFmt formatCode="#,##0_ ;\-#,##0\ " sourceLinked="1"/>
        <c:majorTickMark val="out"/>
        <c:minorTickMark val="none"/>
        <c:tickLblPos val="nextTo"/>
        <c:crossAx val="106071552"/>
        <c:crosses val="autoZero"/>
        <c:crossBetween val="between"/>
      </c:valAx>
    </c:plotArea>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Hárok2!$I$482</c:f>
              <c:strCache>
                <c:ptCount val="1"/>
                <c:pt idx="0">
                  <c:v>2011</c:v>
                </c:pt>
              </c:strCache>
            </c:strRef>
          </c:tx>
          <c:invertIfNegative val="0"/>
          <c:cat>
            <c:strRef>
              <c:f>Hárok2!$H$483:$H$491</c:f>
              <c:strCache>
                <c:ptCount val="9"/>
                <c:pt idx="0">
                  <c:v>SvF</c:v>
                </c:pt>
                <c:pt idx="1">
                  <c:v>SjF</c:v>
                </c:pt>
                <c:pt idx="2">
                  <c:v>FEI</c:v>
                </c:pt>
                <c:pt idx="3">
                  <c:v>FChPT</c:v>
                </c:pt>
                <c:pt idx="4">
                  <c:v>FA</c:v>
                </c:pt>
                <c:pt idx="5">
                  <c:v>MTF</c:v>
                </c:pt>
                <c:pt idx="6">
                  <c:v>FIIT</c:v>
                </c:pt>
                <c:pt idx="7">
                  <c:v>ÚM</c:v>
                </c:pt>
                <c:pt idx="8">
                  <c:v>R STU</c:v>
                </c:pt>
              </c:strCache>
            </c:strRef>
          </c:cat>
          <c:val>
            <c:numRef>
              <c:f>Hárok2!$I$483:$I$491</c:f>
              <c:numCache>
                <c:formatCode>#,##0_ ;\-#,##0\ </c:formatCode>
                <c:ptCount val="9"/>
                <c:pt idx="0">
                  <c:v>547953</c:v>
                </c:pt>
                <c:pt idx="1">
                  <c:v>156624</c:v>
                </c:pt>
                <c:pt idx="2">
                  <c:v>331780</c:v>
                </c:pt>
                <c:pt idx="3">
                  <c:v>231297</c:v>
                </c:pt>
                <c:pt idx="4">
                  <c:v>19000</c:v>
                </c:pt>
                <c:pt idx="5">
                  <c:v>166600</c:v>
                </c:pt>
                <c:pt idx="6">
                  <c:v>0</c:v>
                </c:pt>
                <c:pt idx="7">
                  <c:v>4100</c:v>
                </c:pt>
                <c:pt idx="8">
                  <c:v>89600</c:v>
                </c:pt>
              </c:numCache>
            </c:numRef>
          </c:val>
        </c:ser>
        <c:ser>
          <c:idx val="1"/>
          <c:order val="1"/>
          <c:tx>
            <c:strRef>
              <c:f>Hárok2!$J$482</c:f>
              <c:strCache>
                <c:ptCount val="1"/>
                <c:pt idx="0">
                  <c:v>2012</c:v>
                </c:pt>
              </c:strCache>
            </c:strRef>
          </c:tx>
          <c:invertIfNegative val="0"/>
          <c:cat>
            <c:strRef>
              <c:f>Hárok2!$H$483:$H$491</c:f>
              <c:strCache>
                <c:ptCount val="9"/>
                <c:pt idx="0">
                  <c:v>SvF</c:v>
                </c:pt>
                <c:pt idx="1">
                  <c:v>SjF</c:v>
                </c:pt>
                <c:pt idx="2">
                  <c:v>FEI</c:v>
                </c:pt>
                <c:pt idx="3">
                  <c:v>FChPT</c:v>
                </c:pt>
                <c:pt idx="4">
                  <c:v>FA</c:v>
                </c:pt>
                <c:pt idx="5">
                  <c:v>MTF</c:v>
                </c:pt>
                <c:pt idx="6">
                  <c:v>FIIT</c:v>
                </c:pt>
                <c:pt idx="7">
                  <c:v>ÚM</c:v>
                </c:pt>
                <c:pt idx="8">
                  <c:v>R STU</c:v>
                </c:pt>
              </c:strCache>
            </c:strRef>
          </c:cat>
          <c:val>
            <c:numRef>
              <c:f>Hárok2!$J$483:$J$491</c:f>
              <c:numCache>
                <c:formatCode>#,##0_ ;\-#,##0\ </c:formatCode>
                <c:ptCount val="9"/>
                <c:pt idx="0">
                  <c:v>714362</c:v>
                </c:pt>
                <c:pt idx="1">
                  <c:v>241138.2</c:v>
                </c:pt>
                <c:pt idx="2">
                  <c:v>211480</c:v>
                </c:pt>
                <c:pt idx="3">
                  <c:v>240552</c:v>
                </c:pt>
                <c:pt idx="4">
                  <c:v>80000</c:v>
                </c:pt>
                <c:pt idx="5">
                  <c:v>193259.19</c:v>
                </c:pt>
                <c:pt idx="6">
                  <c:v>0</c:v>
                </c:pt>
                <c:pt idx="7">
                  <c:v>8990</c:v>
                </c:pt>
                <c:pt idx="8">
                  <c:v>111600</c:v>
                </c:pt>
              </c:numCache>
            </c:numRef>
          </c:val>
        </c:ser>
        <c:ser>
          <c:idx val="2"/>
          <c:order val="2"/>
          <c:tx>
            <c:strRef>
              <c:f>Hárok2!$K$482</c:f>
              <c:strCache>
                <c:ptCount val="1"/>
                <c:pt idx="0">
                  <c:v>2013</c:v>
                </c:pt>
              </c:strCache>
            </c:strRef>
          </c:tx>
          <c:invertIfNegative val="0"/>
          <c:cat>
            <c:strRef>
              <c:f>Hárok2!$H$483:$H$491</c:f>
              <c:strCache>
                <c:ptCount val="9"/>
                <c:pt idx="0">
                  <c:v>SvF</c:v>
                </c:pt>
                <c:pt idx="1">
                  <c:v>SjF</c:v>
                </c:pt>
                <c:pt idx="2">
                  <c:v>FEI</c:v>
                </c:pt>
                <c:pt idx="3">
                  <c:v>FChPT</c:v>
                </c:pt>
                <c:pt idx="4">
                  <c:v>FA</c:v>
                </c:pt>
                <c:pt idx="5">
                  <c:v>MTF</c:v>
                </c:pt>
                <c:pt idx="6">
                  <c:v>FIIT</c:v>
                </c:pt>
                <c:pt idx="7">
                  <c:v>ÚM</c:v>
                </c:pt>
                <c:pt idx="8">
                  <c:v>R STU</c:v>
                </c:pt>
              </c:strCache>
            </c:strRef>
          </c:cat>
          <c:val>
            <c:numRef>
              <c:f>Hárok2!$K$483:$K$491</c:f>
              <c:numCache>
                <c:formatCode>#,##0_ ;\-#,##0\ </c:formatCode>
                <c:ptCount val="9"/>
                <c:pt idx="0">
                  <c:v>566406.12</c:v>
                </c:pt>
                <c:pt idx="1">
                  <c:v>133659</c:v>
                </c:pt>
                <c:pt idx="2">
                  <c:v>193290</c:v>
                </c:pt>
                <c:pt idx="3">
                  <c:v>303415</c:v>
                </c:pt>
                <c:pt idx="4">
                  <c:v>20000</c:v>
                </c:pt>
                <c:pt idx="5">
                  <c:v>245146.94</c:v>
                </c:pt>
                <c:pt idx="6">
                  <c:v>1488</c:v>
                </c:pt>
                <c:pt idx="7">
                  <c:v>3600</c:v>
                </c:pt>
                <c:pt idx="8">
                  <c:v>235000</c:v>
                </c:pt>
              </c:numCache>
            </c:numRef>
          </c:val>
        </c:ser>
        <c:ser>
          <c:idx val="3"/>
          <c:order val="3"/>
          <c:tx>
            <c:strRef>
              <c:f>Hárok2!$L$482</c:f>
              <c:strCache>
                <c:ptCount val="1"/>
                <c:pt idx="0">
                  <c:v>2014</c:v>
                </c:pt>
              </c:strCache>
            </c:strRef>
          </c:tx>
          <c:invertIfNegative val="0"/>
          <c:cat>
            <c:strRef>
              <c:f>Hárok2!$H$483:$H$491</c:f>
              <c:strCache>
                <c:ptCount val="9"/>
                <c:pt idx="0">
                  <c:v>SvF</c:v>
                </c:pt>
                <c:pt idx="1">
                  <c:v>SjF</c:v>
                </c:pt>
                <c:pt idx="2">
                  <c:v>FEI</c:v>
                </c:pt>
                <c:pt idx="3">
                  <c:v>FChPT</c:v>
                </c:pt>
                <c:pt idx="4">
                  <c:v>FA</c:v>
                </c:pt>
                <c:pt idx="5">
                  <c:v>MTF</c:v>
                </c:pt>
                <c:pt idx="6">
                  <c:v>FIIT</c:v>
                </c:pt>
                <c:pt idx="7">
                  <c:v>ÚM</c:v>
                </c:pt>
                <c:pt idx="8">
                  <c:v>R STU</c:v>
                </c:pt>
              </c:strCache>
            </c:strRef>
          </c:cat>
          <c:val>
            <c:numRef>
              <c:f>Hárok2!$L$483:$L$491</c:f>
              <c:numCache>
                <c:formatCode>#,##0_ ;\-#,##0\ </c:formatCode>
                <c:ptCount val="9"/>
                <c:pt idx="0">
                  <c:v>1077025.95</c:v>
                </c:pt>
                <c:pt idx="1">
                  <c:v>207438.47999999998</c:v>
                </c:pt>
                <c:pt idx="2">
                  <c:v>491071</c:v>
                </c:pt>
                <c:pt idx="3">
                  <c:v>273394.2</c:v>
                </c:pt>
                <c:pt idx="4">
                  <c:v>52772</c:v>
                </c:pt>
                <c:pt idx="5">
                  <c:v>5740</c:v>
                </c:pt>
                <c:pt idx="6">
                  <c:v>6687.5</c:v>
                </c:pt>
                <c:pt idx="7">
                  <c:v>4663</c:v>
                </c:pt>
                <c:pt idx="8">
                  <c:v>0</c:v>
                </c:pt>
              </c:numCache>
            </c:numRef>
          </c:val>
        </c:ser>
        <c:dLbls>
          <c:showLegendKey val="0"/>
          <c:showVal val="0"/>
          <c:showCatName val="0"/>
          <c:showSerName val="0"/>
          <c:showPercent val="0"/>
          <c:showBubbleSize val="0"/>
        </c:dLbls>
        <c:gapWidth val="150"/>
        <c:shape val="cylinder"/>
        <c:axId val="106116224"/>
        <c:axId val="106117760"/>
        <c:axId val="0"/>
      </c:bar3DChart>
      <c:catAx>
        <c:axId val="106116224"/>
        <c:scaling>
          <c:orientation val="minMax"/>
        </c:scaling>
        <c:delete val="0"/>
        <c:axPos val="b"/>
        <c:majorTickMark val="out"/>
        <c:minorTickMark val="none"/>
        <c:tickLblPos val="nextTo"/>
        <c:crossAx val="106117760"/>
        <c:crosses val="autoZero"/>
        <c:auto val="1"/>
        <c:lblAlgn val="ctr"/>
        <c:lblOffset val="100"/>
        <c:noMultiLvlLbl val="0"/>
      </c:catAx>
      <c:valAx>
        <c:axId val="106117760"/>
        <c:scaling>
          <c:orientation val="minMax"/>
        </c:scaling>
        <c:delete val="0"/>
        <c:axPos val="l"/>
        <c:majorGridlines/>
        <c:numFmt formatCode="#,##0_ ;\-#,##0\ " sourceLinked="1"/>
        <c:majorTickMark val="out"/>
        <c:minorTickMark val="none"/>
        <c:tickLblPos val="nextTo"/>
        <c:crossAx val="1061162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Hárok1!$C$13</c:f>
              <c:strCache>
                <c:ptCount val="1"/>
                <c:pt idx="0">
                  <c:v>UK</c:v>
                </c:pt>
              </c:strCache>
            </c:strRef>
          </c:tx>
          <c:marker>
            <c:symbol val="none"/>
          </c:marker>
          <c:cat>
            <c:numRef>
              <c:f>Hárok1!$B$14:$B$17</c:f>
              <c:numCache>
                <c:formatCode>General</c:formatCode>
                <c:ptCount val="4"/>
                <c:pt idx="0">
                  <c:v>2011</c:v>
                </c:pt>
                <c:pt idx="1">
                  <c:v>2012</c:v>
                </c:pt>
                <c:pt idx="2">
                  <c:v>2013</c:v>
                </c:pt>
                <c:pt idx="3">
                  <c:v>2014</c:v>
                </c:pt>
              </c:numCache>
            </c:numRef>
          </c:cat>
          <c:val>
            <c:numRef>
              <c:f>Hárok1!$C$14:$C$17</c:f>
              <c:numCache>
                <c:formatCode>General</c:formatCode>
                <c:ptCount val="4"/>
                <c:pt idx="0">
                  <c:v>1006</c:v>
                </c:pt>
                <c:pt idx="1">
                  <c:v>1185</c:v>
                </c:pt>
                <c:pt idx="2">
                  <c:v>1142</c:v>
                </c:pt>
                <c:pt idx="3">
                  <c:v>820</c:v>
                </c:pt>
              </c:numCache>
            </c:numRef>
          </c:val>
          <c:smooth val="0"/>
        </c:ser>
        <c:ser>
          <c:idx val="1"/>
          <c:order val="1"/>
          <c:tx>
            <c:strRef>
              <c:f>Hárok1!$D$13</c:f>
              <c:strCache>
                <c:ptCount val="1"/>
                <c:pt idx="0">
                  <c:v>STU</c:v>
                </c:pt>
              </c:strCache>
            </c:strRef>
          </c:tx>
          <c:marker>
            <c:symbol val="none"/>
          </c:marker>
          <c:cat>
            <c:numRef>
              <c:f>Hárok1!$B$14:$B$17</c:f>
              <c:numCache>
                <c:formatCode>General</c:formatCode>
                <c:ptCount val="4"/>
                <c:pt idx="0">
                  <c:v>2011</c:v>
                </c:pt>
                <c:pt idx="1">
                  <c:v>2012</c:v>
                </c:pt>
                <c:pt idx="2">
                  <c:v>2013</c:v>
                </c:pt>
                <c:pt idx="3">
                  <c:v>2014</c:v>
                </c:pt>
              </c:numCache>
            </c:numRef>
          </c:cat>
          <c:val>
            <c:numRef>
              <c:f>Hárok1!$D$14:$D$17</c:f>
              <c:numCache>
                <c:formatCode>General</c:formatCode>
                <c:ptCount val="4"/>
                <c:pt idx="0">
                  <c:v>752</c:v>
                </c:pt>
                <c:pt idx="1">
                  <c:v>799</c:v>
                </c:pt>
                <c:pt idx="2">
                  <c:v>940</c:v>
                </c:pt>
                <c:pt idx="3">
                  <c:v>861</c:v>
                </c:pt>
              </c:numCache>
            </c:numRef>
          </c:val>
          <c:smooth val="0"/>
        </c:ser>
        <c:ser>
          <c:idx val="2"/>
          <c:order val="2"/>
          <c:tx>
            <c:strRef>
              <c:f>Hárok1!$E$13</c:f>
              <c:strCache>
                <c:ptCount val="1"/>
                <c:pt idx="0">
                  <c:v>TUKE</c:v>
                </c:pt>
              </c:strCache>
            </c:strRef>
          </c:tx>
          <c:marker>
            <c:symbol val="none"/>
          </c:marker>
          <c:cat>
            <c:numRef>
              <c:f>Hárok1!$B$14:$B$17</c:f>
              <c:numCache>
                <c:formatCode>General</c:formatCode>
                <c:ptCount val="4"/>
                <c:pt idx="0">
                  <c:v>2011</c:v>
                </c:pt>
                <c:pt idx="1">
                  <c:v>2012</c:v>
                </c:pt>
                <c:pt idx="2">
                  <c:v>2013</c:v>
                </c:pt>
                <c:pt idx="3">
                  <c:v>2014</c:v>
                </c:pt>
              </c:numCache>
            </c:numRef>
          </c:cat>
          <c:val>
            <c:numRef>
              <c:f>Hárok1!$E$14:$E$17</c:f>
              <c:numCache>
                <c:formatCode>General</c:formatCode>
                <c:ptCount val="4"/>
                <c:pt idx="0">
                  <c:v>636</c:v>
                </c:pt>
                <c:pt idx="1">
                  <c:v>814</c:v>
                </c:pt>
                <c:pt idx="2">
                  <c:v>847</c:v>
                </c:pt>
                <c:pt idx="3">
                  <c:v>764</c:v>
                </c:pt>
              </c:numCache>
            </c:numRef>
          </c:val>
          <c:smooth val="0"/>
        </c:ser>
        <c:ser>
          <c:idx val="3"/>
          <c:order val="3"/>
          <c:tx>
            <c:strRef>
              <c:f>Hárok1!$F$13</c:f>
              <c:strCache>
                <c:ptCount val="1"/>
                <c:pt idx="0">
                  <c:v>UPJŠ</c:v>
                </c:pt>
              </c:strCache>
            </c:strRef>
          </c:tx>
          <c:marker>
            <c:symbol val="none"/>
          </c:marker>
          <c:cat>
            <c:numRef>
              <c:f>Hárok1!$B$14:$B$17</c:f>
              <c:numCache>
                <c:formatCode>General</c:formatCode>
                <c:ptCount val="4"/>
                <c:pt idx="0">
                  <c:v>2011</c:v>
                </c:pt>
                <c:pt idx="1">
                  <c:v>2012</c:v>
                </c:pt>
                <c:pt idx="2">
                  <c:v>2013</c:v>
                </c:pt>
                <c:pt idx="3">
                  <c:v>2014</c:v>
                </c:pt>
              </c:numCache>
            </c:numRef>
          </c:cat>
          <c:val>
            <c:numRef>
              <c:f>Hárok1!$F$14:$F$17</c:f>
              <c:numCache>
                <c:formatCode>General</c:formatCode>
                <c:ptCount val="4"/>
                <c:pt idx="0">
                  <c:v>326</c:v>
                </c:pt>
                <c:pt idx="1">
                  <c:v>343</c:v>
                </c:pt>
                <c:pt idx="2">
                  <c:v>377</c:v>
                </c:pt>
                <c:pt idx="3">
                  <c:v>388</c:v>
                </c:pt>
              </c:numCache>
            </c:numRef>
          </c:val>
          <c:smooth val="0"/>
        </c:ser>
        <c:ser>
          <c:idx val="4"/>
          <c:order val="4"/>
          <c:tx>
            <c:strRef>
              <c:f>Hárok1!$G$13</c:f>
              <c:strCache>
                <c:ptCount val="1"/>
                <c:pt idx="0">
                  <c:v>ŽU</c:v>
                </c:pt>
              </c:strCache>
            </c:strRef>
          </c:tx>
          <c:marker>
            <c:symbol val="none"/>
          </c:marker>
          <c:cat>
            <c:numRef>
              <c:f>Hárok1!$B$14:$B$17</c:f>
              <c:numCache>
                <c:formatCode>General</c:formatCode>
                <c:ptCount val="4"/>
                <c:pt idx="0">
                  <c:v>2011</c:v>
                </c:pt>
                <c:pt idx="1">
                  <c:v>2012</c:v>
                </c:pt>
                <c:pt idx="2">
                  <c:v>2013</c:v>
                </c:pt>
                <c:pt idx="3">
                  <c:v>2014</c:v>
                </c:pt>
              </c:numCache>
            </c:numRef>
          </c:cat>
          <c:val>
            <c:numRef>
              <c:f>Hárok1!$G$14:$G$17</c:f>
              <c:numCache>
                <c:formatCode>General</c:formatCode>
                <c:ptCount val="4"/>
                <c:pt idx="0">
                  <c:v>271</c:v>
                </c:pt>
                <c:pt idx="1">
                  <c:v>362</c:v>
                </c:pt>
                <c:pt idx="2">
                  <c:v>382</c:v>
                </c:pt>
                <c:pt idx="3">
                  <c:v>424</c:v>
                </c:pt>
              </c:numCache>
            </c:numRef>
          </c:val>
          <c:smooth val="0"/>
        </c:ser>
        <c:ser>
          <c:idx val="5"/>
          <c:order val="5"/>
          <c:tx>
            <c:strRef>
              <c:f>Hárok1!$H$13</c:f>
              <c:strCache>
                <c:ptCount val="1"/>
                <c:pt idx="0">
                  <c:v>TUZVO</c:v>
                </c:pt>
              </c:strCache>
            </c:strRef>
          </c:tx>
          <c:marker>
            <c:symbol val="none"/>
          </c:marker>
          <c:cat>
            <c:numRef>
              <c:f>Hárok1!$B$14:$B$17</c:f>
              <c:numCache>
                <c:formatCode>General</c:formatCode>
                <c:ptCount val="4"/>
                <c:pt idx="0">
                  <c:v>2011</c:v>
                </c:pt>
                <c:pt idx="1">
                  <c:v>2012</c:v>
                </c:pt>
                <c:pt idx="2">
                  <c:v>2013</c:v>
                </c:pt>
                <c:pt idx="3">
                  <c:v>2014</c:v>
                </c:pt>
              </c:numCache>
            </c:numRef>
          </c:cat>
          <c:val>
            <c:numRef>
              <c:f>Hárok1!$H$14:$H$17</c:f>
              <c:numCache>
                <c:formatCode>General</c:formatCode>
                <c:ptCount val="4"/>
                <c:pt idx="0">
                  <c:v>82</c:v>
                </c:pt>
                <c:pt idx="1">
                  <c:v>84</c:v>
                </c:pt>
                <c:pt idx="2">
                  <c:v>116</c:v>
                </c:pt>
                <c:pt idx="3">
                  <c:v>89</c:v>
                </c:pt>
              </c:numCache>
            </c:numRef>
          </c:val>
          <c:smooth val="0"/>
        </c:ser>
        <c:dLbls>
          <c:showLegendKey val="0"/>
          <c:showVal val="0"/>
          <c:showCatName val="0"/>
          <c:showSerName val="0"/>
          <c:showPercent val="0"/>
          <c:showBubbleSize val="0"/>
        </c:dLbls>
        <c:marker val="1"/>
        <c:smooth val="0"/>
        <c:axId val="106158336"/>
        <c:axId val="106164224"/>
      </c:lineChart>
      <c:catAx>
        <c:axId val="106158336"/>
        <c:scaling>
          <c:orientation val="minMax"/>
        </c:scaling>
        <c:delete val="0"/>
        <c:axPos val="b"/>
        <c:numFmt formatCode="General" sourceLinked="1"/>
        <c:majorTickMark val="out"/>
        <c:minorTickMark val="none"/>
        <c:tickLblPos val="nextTo"/>
        <c:crossAx val="106164224"/>
        <c:crosses val="autoZero"/>
        <c:auto val="1"/>
        <c:lblAlgn val="ctr"/>
        <c:lblOffset val="100"/>
        <c:noMultiLvlLbl val="0"/>
      </c:catAx>
      <c:valAx>
        <c:axId val="106164224"/>
        <c:scaling>
          <c:orientation val="minMax"/>
        </c:scaling>
        <c:delete val="0"/>
        <c:axPos val="l"/>
        <c:majorGridlines/>
        <c:numFmt formatCode="General" sourceLinked="1"/>
        <c:majorTickMark val="out"/>
        <c:minorTickMark val="none"/>
        <c:tickLblPos val="nextTo"/>
        <c:crossAx val="10615833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Hárok1!$C$57</c:f>
              <c:strCache>
                <c:ptCount val="1"/>
                <c:pt idx="0">
                  <c:v>UK</c:v>
                </c:pt>
              </c:strCache>
            </c:strRef>
          </c:tx>
          <c:marker>
            <c:symbol val="none"/>
          </c:marker>
          <c:cat>
            <c:numRef>
              <c:f>Hárok1!$B$58:$B$61</c:f>
              <c:numCache>
                <c:formatCode>General</c:formatCode>
                <c:ptCount val="4"/>
                <c:pt idx="0">
                  <c:v>2011</c:v>
                </c:pt>
                <c:pt idx="1">
                  <c:v>2012</c:v>
                </c:pt>
                <c:pt idx="2">
                  <c:v>2013</c:v>
                </c:pt>
                <c:pt idx="3">
                  <c:v>2014</c:v>
                </c:pt>
              </c:numCache>
            </c:numRef>
          </c:cat>
          <c:val>
            <c:numRef>
              <c:f>Hárok1!$C$58:$C$61</c:f>
              <c:numCache>
                <c:formatCode>0.0</c:formatCode>
                <c:ptCount val="4"/>
                <c:pt idx="0">
                  <c:v>13.3</c:v>
                </c:pt>
                <c:pt idx="1">
                  <c:v>20.6</c:v>
                </c:pt>
                <c:pt idx="2">
                  <c:v>18.5</c:v>
                </c:pt>
                <c:pt idx="3">
                  <c:v>20.7</c:v>
                </c:pt>
              </c:numCache>
            </c:numRef>
          </c:val>
          <c:smooth val="0"/>
        </c:ser>
        <c:ser>
          <c:idx val="1"/>
          <c:order val="1"/>
          <c:tx>
            <c:strRef>
              <c:f>Hárok1!$D$57</c:f>
              <c:strCache>
                <c:ptCount val="1"/>
                <c:pt idx="0">
                  <c:v>STU</c:v>
                </c:pt>
              </c:strCache>
            </c:strRef>
          </c:tx>
          <c:marker>
            <c:symbol val="none"/>
          </c:marker>
          <c:cat>
            <c:numRef>
              <c:f>Hárok1!$B$58:$B$61</c:f>
              <c:numCache>
                <c:formatCode>General</c:formatCode>
                <c:ptCount val="4"/>
                <c:pt idx="0">
                  <c:v>2011</c:v>
                </c:pt>
                <c:pt idx="1">
                  <c:v>2012</c:v>
                </c:pt>
                <c:pt idx="2">
                  <c:v>2013</c:v>
                </c:pt>
                <c:pt idx="3">
                  <c:v>2014</c:v>
                </c:pt>
              </c:numCache>
            </c:numRef>
          </c:cat>
          <c:val>
            <c:numRef>
              <c:f>Hárok1!$D$58:$D$61</c:f>
              <c:numCache>
                <c:formatCode>0.0</c:formatCode>
                <c:ptCount val="4"/>
                <c:pt idx="0">
                  <c:v>5.3</c:v>
                </c:pt>
                <c:pt idx="1">
                  <c:v>4.8</c:v>
                </c:pt>
                <c:pt idx="2">
                  <c:v>8</c:v>
                </c:pt>
                <c:pt idx="3">
                  <c:v>9.9</c:v>
                </c:pt>
              </c:numCache>
            </c:numRef>
          </c:val>
          <c:smooth val="0"/>
        </c:ser>
        <c:ser>
          <c:idx val="2"/>
          <c:order val="2"/>
          <c:tx>
            <c:strRef>
              <c:f>Hárok1!$E$57</c:f>
              <c:strCache>
                <c:ptCount val="1"/>
                <c:pt idx="0">
                  <c:v>TUKE</c:v>
                </c:pt>
              </c:strCache>
            </c:strRef>
          </c:tx>
          <c:marker>
            <c:symbol val="none"/>
          </c:marker>
          <c:cat>
            <c:numRef>
              <c:f>Hárok1!$B$58:$B$61</c:f>
              <c:numCache>
                <c:formatCode>General</c:formatCode>
                <c:ptCount val="4"/>
                <c:pt idx="0">
                  <c:v>2011</c:v>
                </c:pt>
                <c:pt idx="1">
                  <c:v>2012</c:v>
                </c:pt>
                <c:pt idx="2">
                  <c:v>2013</c:v>
                </c:pt>
                <c:pt idx="3">
                  <c:v>2014</c:v>
                </c:pt>
              </c:numCache>
            </c:numRef>
          </c:cat>
          <c:val>
            <c:numRef>
              <c:f>Hárok1!$E$58:$E$61</c:f>
              <c:numCache>
                <c:formatCode>0.0</c:formatCode>
                <c:ptCount val="4"/>
                <c:pt idx="0">
                  <c:v>2.2999999999999998</c:v>
                </c:pt>
                <c:pt idx="1">
                  <c:v>4.5999999999999996</c:v>
                </c:pt>
                <c:pt idx="2">
                  <c:v>7.1</c:v>
                </c:pt>
                <c:pt idx="3">
                  <c:v>8</c:v>
                </c:pt>
              </c:numCache>
            </c:numRef>
          </c:val>
          <c:smooth val="0"/>
        </c:ser>
        <c:ser>
          <c:idx val="3"/>
          <c:order val="3"/>
          <c:tx>
            <c:strRef>
              <c:f>Hárok1!$F$57</c:f>
              <c:strCache>
                <c:ptCount val="1"/>
                <c:pt idx="0">
                  <c:v>UPJŠ</c:v>
                </c:pt>
              </c:strCache>
            </c:strRef>
          </c:tx>
          <c:marker>
            <c:symbol val="none"/>
          </c:marker>
          <c:cat>
            <c:numRef>
              <c:f>Hárok1!$B$58:$B$61</c:f>
              <c:numCache>
                <c:formatCode>General</c:formatCode>
                <c:ptCount val="4"/>
                <c:pt idx="0">
                  <c:v>2011</c:v>
                </c:pt>
                <c:pt idx="1">
                  <c:v>2012</c:v>
                </c:pt>
                <c:pt idx="2">
                  <c:v>2013</c:v>
                </c:pt>
                <c:pt idx="3">
                  <c:v>2014</c:v>
                </c:pt>
              </c:numCache>
            </c:numRef>
          </c:cat>
          <c:val>
            <c:numRef>
              <c:f>Hárok1!$F$58:$F$61</c:f>
              <c:numCache>
                <c:formatCode>0.0</c:formatCode>
                <c:ptCount val="4"/>
                <c:pt idx="0">
                  <c:v>11</c:v>
                </c:pt>
                <c:pt idx="1">
                  <c:v>14</c:v>
                </c:pt>
                <c:pt idx="2">
                  <c:v>14.1</c:v>
                </c:pt>
                <c:pt idx="3">
                  <c:v>14.9</c:v>
                </c:pt>
              </c:numCache>
            </c:numRef>
          </c:val>
          <c:smooth val="0"/>
        </c:ser>
        <c:ser>
          <c:idx val="4"/>
          <c:order val="4"/>
          <c:tx>
            <c:strRef>
              <c:f>Hárok1!$G$57</c:f>
              <c:strCache>
                <c:ptCount val="1"/>
                <c:pt idx="0">
                  <c:v>ŽU</c:v>
                </c:pt>
              </c:strCache>
            </c:strRef>
          </c:tx>
          <c:marker>
            <c:symbol val="none"/>
          </c:marker>
          <c:cat>
            <c:numRef>
              <c:f>Hárok1!$B$58:$B$61</c:f>
              <c:numCache>
                <c:formatCode>General</c:formatCode>
                <c:ptCount val="4"/>
                <c:pt idx="0">
                  <c:v>2011</c:v>
                </c:pt>
                <c:pt idx="1">
                  <c:v>2012</c:v>
                </c:pt>
                <c:pt idx="2">
                  <c:v>2013</c:v>
                </c:pt>
                <c:pt idx="3">
                  <c:v>2014</c:v>
                </c:pt>
              </c:numCache>
            </c:numRef>
          </c:cat>
          <c:val>
            <c:numRef>
              <c:f>Hárok1!$G$58:$G$61</c:f>
              <c:numCache>
                <c:formatCode>0.0</c:formatCode>
                <c:ptCount val="4"/>
                <c:pt idx="0">
                  <c:v>0.4</c:v>
                </c:pt>
                <c:pt idx="1">
                  <c:v>1.4</c:v>
                </c:pt>
                <c:pt idx="2">
                  <c:v>5.5</c:v>
                </c:pt>
                <c:pt idx="3">
                  <c:v>5.7</c:v>
                </c:pt>
              </c:numCache>
            </c:numRef>
          </c:val>
          <c:smooth val="0"/>
        </c:ser>
        <c:ser>
          <c:idx val="5"/>
          <c:order val="5"/>
          <c:tx>
            <c:strRef>
              <c:f>Hárok1!$H$57</c:f>
              <c:strCache>
                <c:ptCount val="1"/>
                <c:pt idx="0">
                  <c:v>TUZVO</c:v>
                </c:pt>
              </c:strCache>
            </c:strRef>
          </c:tx>
          <c:marker>
            <c:symbol val="none"/>
          </c:marker>
          <c:cat>
            <c:numRef>
              <c:f>Hárok1!$B$58:$B$61</c:f>
              <c:numCache>
                <c:formatCode>General</c:formatCode>
                <c:ptCount val="4"/>
                <c:pt idx="0">
                  <c:v>2011</c:v>
                </c:pt>
                <c:pt idx="1">
                  <c:v>2012</c:v>
                </c:pt>
                <c:pt idx="2">
                  <c:v>2013</c:v>
                </c:pt>
                <c:pt idx="3">
                  <c:v>2014</c:v>
                </c:pt>
              </c:numCache>
            </c:numRef>
          </c:cat>
          <c:val>
            <c:numRef>
              <c:f>Hárok1!$H$58:$H$61</c:f>
              <c:numCache>
                <c:formatCode>0.0</c:formatCode>
                <c:ptCount val="4"/>
                <c:pt idx="0">
                  <c:v>2.4</c:v>
                </c:pt>
                <c:pt idx="1">
                  <c:v>9.5</c:v>
                </c:pt>
                <c:pt idx="2">
                  <c:v>3.4</c:v>
                </c:pt>
                <c:pt idx="3">
                  <c:v>15.7</c:v>
                </c:pt>
              </c:numCache>
            </c:numRef>
          </c:val>
          <c:smooth val="0"/>
        </c:ser>
        <c:dLbls>
          <c:showLegendKey val="0"/>
          <c:showVal val="0"/>
          <c:showCatName val="0"/>
          <c:showSerName val="0"/>
          <c:showPercent val="0"/>
          <c:showBubbleSize val="0"/>
        </c:dLbls>
        <c:marker val="1"/>
        <c:smooth val="0"/>
        <c:axId val="106192256"/>
        <c:axId val="106202240"/>
      </c:lineChart>
      <c:catAx>
        <c:axId val="106192256"/>
        <c:scaling>
          <c:orientation val="minMax"/>
        </c:scaling>
        <c:delete val="0"/>
        <c:axPos val="b"/>
        <c:numFmt formatCode="General" sourceLinked="1"/>
        <c:majorTickMark val="out"/>
        <c:minorTickMark val="none"/>
        <c:tickLblPos val="nextTo"/>
        <c:crossAx val="106202240"/>
        <c:crosses val="autoZero"/>
        <c:auto val="1"/>
        <c:lblAlgn val="ctr"/>
        <c:lblOffset val="100"/>
        <c:noMultiLvlLbl val="0"/>
      </c:catAx>
      <c:valAx>
        <c:axId val="106202240"/>
        <c:scaling>
          <c:orientation val="minMax"/>
        </c:scaling>
        <c:delete val="0"/>
        <c:axPos val="l"/>
        <c:majorGridlines/>
        <c:numFmt formatCode="0.0" sourceLinked="1"/>
        <c:majorTickMark val="out"/>
        <c:minorTickMark val="none"/>
        <c:tickLblPos val="nextTo"/>
        <c:crossAx val="10619225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cat>
            <c:strRef>
              <c:f>Hárok1!$B$3:$B$14</c:f>
              <c:strCache>
                <c:ptCount val="12"/>
                <c:pt idx="0">
                  <c:v>Inžinierstvo</c:v>
                </c:pt>
                <c:pt idx="1">
                  <c:v>Energia</c:v>
                </c:pt>
                <c:pt idx="2">
                  <c:v>Env. Vedy</c:v>
                </c:pt>
                <c:pt idx="3">
                  <c:v>Po+nohosp.</c:v>
                </c:pt>
                <c:pt idx="4">
                  <c:v>Biochémia</c:v>
                </c:pt>
                <c:pt idx="5">
                  <c:v>Počítače</c:v>
                </c:pt>
                <c:pt idx="6">
                  <c:v>Matematika</c:v>
                </c:pt>
                <c:pt idx="7">
                  <c:v>Fyzika</c:v>
                </c:pt>
                <c:pt idx="8">
                  <c:v>Chémia</c:v>
                </c:pt>
                <c:pt idx="9">
                  <c:v>Chem. Inž.</c:v>
                </c:pt>
                <c:pt idx="10">
                  <c:v>Mat. vedy.</c:v>
                </c:pt>
                <c:pt idx="11">
                  <c:v>Ostatné</c:v>
                </c:pt>
              </c:strCache>
            </c:strRef>
          </c:cat>
          <c:val>
            <c:numRef>
              <c:f>Hárok1!$C$3:$C$14</c:f>
              <c:numCache>
                <c:formatCode>General</c:formatCode>
                <c:ptCount val="12"/>
                <c:pt idx="0">
                  <c:v>27.1</c:v>
                </c:pt>
                <c:pt idx="1">
                  <c:v>2.2999999999999998</c:v>
                </c:pt>
                <c:pt idx="2">
                  <c:v>2.9</c:v>
                </c:pt>
                <c:pt idx="3">
                  <c:v>2.1</c:v>
                </c:pt>
                <c:pt idx="4">
                  <c:v>3.8</c:v>
                </c:pt>
                <c:pt idx="5">
                  <c:v>11.4</c:v>
                </c:pt>
                <c:pt idx="6">
                  <c:v>6.9</c:v>
                </c:pt>
                <c:pt idx="7">
                  <c:v>9.2000000000000011</c:v>
                </c:pt>
                <c:pt idx="8">
                  <c:v>10.7</c:v>
                </c:pt>
                <c:pt idx="9">
                  <c:v>4.3</c:v>
                </c:pt>
                <c:pt idx="10">
                  <c:v>10.8</c:v>
                </c:pt>
                <c:pt idx="11">
                  <c:v>8.5</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5507436570432"/>
          <c:y val="0.16548207485624991"/>
          <c:w val="0.86505380577427871"/>
          <c:h val="0.73242698708904153"/>
        </c:manualLayout>
      </c:layout>
      <c:lineChart>
        <c:grouping val="standard"/>
        <c:varyColors val="0"/>
        <c:ser>
          <c:idx val="0"/>
          <c:order val="0"/>
          <c:tx>
            <c:strRef>
              <c:f>Sheet1!$B$4</c:f>
              <c:strCache>
                <c:ptCount val="1"/>
                <c:pt idx="0">
                  <c:v>Počet zamestnancov</c:v>
                </c:pt>
              </c:strCache>
            </c:strRef>
          </c:tx>
          <c:marker>
            <c:symbol val="none"/>
          </c:marker>
          <c:cat>
            <c:numRef>
              <c:f>Sheet1!$C$3:$H$3</c:f>
              <c:numCache>
                <c:formatCode>General</c:formatCode>
                <c:ptCount val="6"/>
                <c:pt idx="0">
                  <c:v>2009</c:v>
                </c:pt>
                <c:pt idx="1">
                  <c:v>2010</c:v>
                </c:pt>
                <c:pt idx="2">
                  <c:v>2011</c:v>
                </c:pt>
                <c:pt idx="3">
                  <c:v>2012</c:v>
                </c:pt>
                <c:pt idx="4">
                  <c:v>2013</c:v>
                </c:pt>
                <c:pt idx="5">
                  <c:v>2014</c:v>
                </c:pt>
              </c:numCache>
            </c:numRef>
          </c:cat>
          <c:val>
            <c:numRef>
              <c:f>Sheet1!$C$4:$H$4</c:f>
              <c:numCache>
                <c:formatCode>General</c:formatCode>
                <c:ptCount val="6"/>
                <c:pt idx="0">
                  <c:v>3074</c:v>
                </c:pt>
                <c:pt idx="1">
                  <c:v>3105</c:v>
                </c:pt>
                <c:pt idx="2">
                  <c:v>3025</c:v>
                </c:pt>
                <c:pt idx="3">
                  <c:v>3104</c:v>
                </c:pt>
                <c:pt idx="4">
                  <c:v>2998</c:v>
                </c:pt>
                <c:pt idx="5">
                  <c:v>2935</c:v>
                </c:pt>
              </c:numCache>
            </c:numRef>
          </c:val>
          <c:smooth val="0"/>
        </c:ser>
        <c:ser>
          <c:idx val="1"/>
          <c:order val="1"/>
          <c:tx>
            <c:strRef>
              <c:f>Sheet1!$B$5</c:f>
              <c:strCache>
                <c:ptCount val="1"/>
                <c:pt idx="0">
                  <c:v>VŠ učitelia</c:v>
                </c:pt>
              </c:strCache>
            </c:strRef>
          </c:tx>
          <c:marker>
            <c:symbol val="none"/>
          </c:marker>
          <c:cat>
            <c:numRef>
              <c:f>Sheet1!$C$3:$H$3</c:f>
              <c:numCache>
                <c:formatCode>General</c:formatCode>
                <c:ptCount val="6"/>
                <c:pt idx="0">
                  <c:v>2009</c:v>
                </c:pt>
                <c:pt idx="1">
                  <c:v>2010</c:v>
                </c:pt>
                <c:pt idx="2">
                  <c:v>2011</c:v>
                </c:pt>
                <c:pt idx="3">
                  <c:v>2012</c:v>
                </c:pt>
                <c:pt idx="4">
                  <c:v>2013</c:v>
                </c:pt>
                <c:pt idx="5">
                  <c:v>2014</c:v>
                </c:pt>
              </c:numCache>
            </c:numRef>
          </c:cat>
          <c:val>
            <c:numRef>
              <c:f>Sheet1!$C$5:$H$5</c:f>
              <c:numCache>
                <c:formatCode>General</c:formatCode>
                <c:ptCount val="6"/>
                <c:pt idx="0">
                  <c:v>1193</c:v>
                </c:pt>
                <c:pt idx="1">
                  <c:v>1197</c:v>
                </c:pt>
                <c:pt idx="2">
                  <c:v>1201</c:v>
                </c:pt>
                <c:pt idx="3">
                  <c:v>1172</c:v>
                </c:pt>
                <c:pt idx="4">
                  <c:v>1175</c:v>
                </c:pt>
                <c:pt idx="5">
                  <c:v>1158</c:v>
                </c:pt>
              </c:numCache>
            </c:numRef>
          </c:val>
          <c:smooth val="0"/>
        </c:ser>
        <c:ser>
          <c:idx val="2"/>
          <c:order val="2"/>
          <c:tx>
            <c:strRef>
              <c:f>Sheet1!$B$6</c:f>
              <c:strCache>
                <c:ptCount val="1"/>
                <c:pt idx="0">
                  <c:v>VV pracovníci</c:v>
                </c:pt>
              </c:strCache>
            </c:strRef>
          </c:tx>
          <c:marker>
            <c:symbol val="none"/>
          </c:marker>
          <c:cat>
            <c:numRef>
              <c:f>Sheet1!$C$3:$H$3</c:f>
              <c:numCache>
                <c:formatCode>General</c:formatCode>
                <c:ptCount val="6"/>
                <c:pt idx="0">
                  <c:v>2009</c:v>
                </c:pt>
                <c:pt idx="1">
                  <c:v>2010</c:v>
                </c:pt>
                <c:pt idx="2">
                  <c:v>2011</c:v>
                </c:pt>
                <c:pt idx="3">
                  <c:v>2012</c:v>
                </c:pt>
                <c:pt idx="4">
                  <c:v>2013</c:v>
                </c:pt>
                <c:pt idx="5">
                  <c:v>2014</c:v>
                </c:pt>
              </c:numCache>
            </c:numRef>
          </c:cat>
          <c:val>
            <c:numRef>
              <c:f>Sheet1!$C$6:$H$6</c:f>
              <c:numCache>
                <c:formatCode>General</c:formatCode>
                <c:ptCount val="6"/>
                <c:pt idx="0">
                  <c:v>376</c:v>
                </c:pt>
                <c:pt idx="1">
                  <c:v>359</c:v>
                </c:pt>
                <c:pt idx="2">
                  <c:v>398</c:v>
                </c:pt>
                <c:pt idx="3">
                  <c:v>425</c:v>
                </c:pt>
                <c:pt idx="4">
                  <c:v>450</c:v>
                </c:pt>
                <c:pt idx="5">
                  <c:v>438</c:v>
                </c:pt>
              </c:numCache>
            </c:numRef>
          </c:val>
          <c:smooth val="0"/>
        </c:ser>
        <c:dLbls>
          <c:showLegendKey val="0"/>
          <c:showVal val="0"/>
          <c:showCatName val="0"/>
          <c:showSerName val="0"/>
          <c:showPercent val="0"/>
          <c:showBubbleSize val="0"/>
        </c:dLbls>
        <c:marker val="1"/>
        <c:smooth val="0"/>
        <c:axId val="107712512"/>
        <c:axId val="107714048"/>
      </c:lineChart>
      <c:catAx>
        <c:axId val="107712512"/>
        <c:scaling>
          <c:orientation val="minMax"/>
        </c:scaling>
        <c:delete val="0"/>
        <c:axPos val="b"/>
        <c:numFmt formatCode="General" sourceLinked="1"/>
        <c:majorTickMark val="out"/>
        <c:minorTickMark val="none"/>
        <c:tickLblPos val="nextTo"/>
        <c:crossAx val="107714048"/>
        <c:crosses val="autoZero"/>
        <c:auto val="1"/>
        <c:lblAlgn val="ctr"/>
        <c:lblOffset val="100"/>
        <c:noMultiLvlLbl val="0"/>
      </c:catAx>
      <c:valAx>
        <c:axId val="107714048"/>
        <c:scaling>
          <c:orientation val="minMax"/>
          <c:max val="3500"/>
        </c:scaling>
        <c:delete val="0"/>
        <c:axPos val="l"/>
        <c:majorGridlines/>
        <c:numFmt formatCode="General" sourceLinked="1"/>
        <c:majorTickMark val="out"/>
        <c:minorTickMark val="none"/>
        <c:tickLblPos val="nextTo"/>
        <c:crossAx val="107712512"/>
        <c:crosses val="autoZero"/>
        <c:crossBetween val="between"/>
      </c:valAx>
      <c:dTable>
        <c:showHorzBorder val="1"/>
        <c:showVertBorder val="1"/>
        <c:showOutline val="1"/>
        <c:showKeys val="1"/>
      </c:dTable>
      <c:spPr>
        <a:gradFill>
          <a:gsLst>
            <a:gs pos="0">
              <a:schemeClr val="accent1">
                <a:tint val="66000"/>
                <a:satMod val="160000"/>
                <a:lumMod val="80000"/>
                <a:lumOff val="2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392017035606403E-2"/>
          <c:y val="4.418913307478356E-2"/>
          <c:w val="0.87593502698955206"/>
          <c:h val="0.74831010302816625"/>
        </c:manualLayout>
      </c:layout>
      <c:lineChart>
        <c:grouping val="standard"/>
        <c:varyColors val="0"/>
        <c:ser>
          <c:idx val="3"/>
          <c:order val="3"/>
          <c:tx>
            <c:strRef>
              <c:f>'Tab5_6_vývoj počtu študentov'!$A$11</c:f>
              <c:strCache>
                <c:ptCount val="1"/>
                <c:pt idx="0">
                  <c:v>I. stupeň</c:v>
                </c:pt>
              </c:strCache>
            </c:strRef>
          </c:tx>
          <c:marker>
            <c:symbol val="none"/>
          </c:marker>
          <c:dLbls>
            <c:dLbl>
              <c:idx val="1"/>
              <c:delete val="1"/>
            </c:dLbl>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študentov'!$B$11:$F$11</c:f>
              <c:numCache>
                <c:formatCode>#,##0</c:formatCode>
                <c:ptCount val="5"/>
                <c:pt idx="0">
                  <c:v>770</c:v>
                </c:pt>
                <c:pt idx="1">
                  <c:v>467</c:v>
                </c:pt>
                <c:pt idx="2">
                  <c:v>252</c:v>
                </c:pt>
                <c:pt idx="3">
                  <c:v>103</c:v>
                </c:pt>
                <c:pt idx="4">
                  <c:v>37</c:v>
                </c:pt>
              </c:numCache>
            </c:numRef>
          </c:val>
          <c:smooth val="0"/>
        </c:ser>
        <c:ser>
          <c:idx val="4"/>
          <c:order val="4"/>
          <c:tx>
            <c:strRef>
              <c:f>'Tab5_6_vývoj počtu študentov'!$A$12</c:f>
              <c:strCache>
                <c:ptCount val="1"/>
                <c:pt idx="0">
                  <c:v>II. stupeň</c:v>
                </c:pt>
              </c:strCache>
            </c:strRef>
          </c:tx>
          <c:marker>
            <c:symbol val="none"/>
          </c:marker>
          <c:dLbls>
            <c:dLbl>
              <c:idx val="4"/>
              <c:delete val="1"/>
            </c:dLbl>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študentov'!$B$12:$F$12</c:f>
              <c:numCache>
                <c:formatCode>#,##0</c:formatCode>
                <c:ptCount val="5"/>
                <c:pt idx="0">
                  <c:v>8</c:v>
                </c:pt>
                <c:pt idx="1">
                  <c:v>3</c:v>
                </c:pt>
                <c:pt idx="2">
                  <c:v>23</c:v>
                </c:pt>
                <c:pt idx="3">
                  <c:v>0</c:v>
                </c:pt>
                <c:pt idx="4">
                  <c:v>0</c:v>
                </c:pt>
              </c:numCache>
            </c:numRef>
          </c:val>
          <c:smooth val="0"/>
        </c:ser>
        <c:ser>
          <c:idx val="5"/>
          <c:order val="5"/>
          <c:tx>
            <c:strRef>
              <c:f>'Tab5_6_vývoj počtu študentov'!$A$13</c:f>
              <c:strCache>
                <c:ptCount val="1"/>
                <c:pt idx="0">
                  <c:v>III. stupeň</c:v>
                </c:pt>
              </c:strCache>
            </c:strRef>
          </c:tx>
          <c:marker>
            <c:symbol val="none"/>
          </c:marker>
          <c:dLbls>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študentov'!$B$13:$F$13</c:f>
              <c:numCache>
                <c:formatCode>#,##0</c:formatCode>
                <c:ptCount val="5"/>
                <c:pt idx="0">
                  <c:v>571</c:v>
                </c:pt>
                <c:pt idx="1">
                  <c:v>584</c:v>
                </c:pt>
                <c:pt idx="2">
                  <c:v>493</c:v>
                </c:pt>
                <c:pt idx="3">
                  <c:v>443</c:v>
                </c:pt>
                <c:pt idx="4">
                  <c:v>407</c:v>
                </c:pt>
              </c:numCache>
            </c:numRef>
          </c:val>
          <c:smooth val="0"/>
        </c:ser>
        <c:ser>
          <c:idx val="0"/>
          <c:order val="0"/>
          <c:tx>
            <c:strRef>
              <c:f>'Tab5_6_vývoj počtu študentov'!$A$11</c:f>
              <c:strCache>
                <c:ptCount val="1"/>
                <c:pt idx="0">
                  <c:v>I. stupeň</c:v>
                </c:pt>
              </c:strCache>
            </c:strRef>
          </c:tx>
          <c:spPr>
            <a:ln w="38100"/>
          </c:spPr>
          <c:marker>
            <c:symbol val="none"/>
          </c:marker>
          <c:dLbls>
            <c:dLbl>
              <c:idx val="1"/>
              <c:layout>
                <c:manualLayout>
                  <c:x val="-4.5302501744244099E-2"/>
                  <c:y val="3.846174494791262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študentov'!$B$11:$F$11</c:f>
              <c:numCache>
                <c:formatCode>#,##0</c:formatCode>
                <c:ptCount val="5"/>
                <c:pt idx="0">
                  <c:v>770</c:v>
                </c:pt>
                <c:pt idx="1">
                  <c:v>467</c:v>
                </c:pt>
                <c:pt idx="2">
                  <c:v>252</c:v>
                </c:pt>
                <c:pt idx="3">
                  <c:v>103</c:v>
                </c:pt>
                <c:pt idx="4">
                  <c:v>37</c:v>
                </c:pt>
              </c:numCache>
            </c:numRef>
          </c:val>
          <c:smooth val="0"/>
        </c:ser>
        <c:ser>
          <c:idx val="1"/>
          <c:order val="1"/>
          <c:tx>
            <c:strRef>
              <c:f>'Tab5_6_vývoj počtu študentov'!$A$12</c:f>
              <c:strCache>
                <c:ptCount val="1"/>
                <c:pt idx="0">
                  <c:v>II. stupeň</c:v>
                </c:pt>
              </c:strCache>
            </c:strRef>
          </c:tx>
          <c:spPr>
            <a:ln w="38100"/>
          </c:spPr>
          <c:marker>
            <c:symbol val="none"/>
          </c:marker>
          <c:dLbls>
            <c:dLbl>
              <c:idx val="4"/>
              <c:layout>
                <c:manualLayout>
                  <c:x val="-2.9115031507137559E-3"/>
                  <c:y val="-4.4330441678484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študentov'!$B$12:$F$12</c:f>
              <c:numCache>
                <c:formatCode>#,##0</c:formatCode>
                <c:ptCount val="5"/>
                <c:pt idx="0">
                  <c:v>8</c:v>
                </c:pt>
                <c:pt idx="1">
                  <c:v>3</c:v>
                </c:pt>
                <c:pt idx="2">
                  <c:v>23</c:v>
                </c:pt>
                <c:pt idx="3">
                  <c:v>0</c:v>
                </c:pt>
                <c:pt idx="4">
                  <c:v>0</c:v>
                </c:pt>
              </c:numCache>
            </c:numRef>
          </c:val>
          <c:smooth val="0"/>
        </c:ser>
        <c:ser>
          <c:idx val="2"/>
          <c:order val="2"/>
          <c:tx>
            <c:strRef>
              <c:f>'Tab5_6_vývoj počtu študentov'!$A$13</c:f>
              <c:strCache>
                <c:ptCount val="1"/>
                <c:pt idx="0">
                  <c:v>III. stupeň</c:v>
                </c:pt>
              </c:strCache>
            </c:strRef>
          </c:tx>
          <c:spPr>
            <a:ln w="38100"/>
          </c:spPr>
          <c:marker>
            <c:symbol val="none"/>
          </c:marker>
          <c:dLbls>
            <c:dLblPos val="t"/>
            <c:showLegendKey val="0"/>
            <c:showVal val="1"/>
            <c:showCatName val="0"/>
            <c:showSerName val="0"/>
            <c:showPercent val="0"/>
            <c:showBubbleSize val="0"/>
            <c:showLeaderLines val="0"/>
          </c:dLbls>
          <c:cat>
            <c:strRef>
              <c:f>'Tab5_6_vývoj počtu študentov'!$B$10:$F$10</c:f>
              <c:strCache>
                <c:ptCount val="5"/>
                <c:pt idx="0">
                  <c:v>2009/2010</c:v>
                </c:pt>
                <c:pt idx="1">
                  <c:v>2010/2011</c:v>
                </c:pt>
                <c:pt idx="2">
                  <c:v>2011/2012</c:v>
                </c:pt>
                <c:pt idx="3">
                  <c:v>2012/2013</c:v>
                </c:pt>
                <c:pt idx="4">
                  <c:v>2013/2014</c:v>
                </c:pt>
              </c:strCache>
            </c:strRef>
          </c:cat>
          <c:val>
            <c:numRef>
              <c:f>'Tab5_6_vývoj počtu študentov'!$B$13:$F$13</c:f>
              <c:numCache>
                <c:formatCode>#,##0</c:formatCode>
                <c:ptCount val="5"/>
                <c:pt idx="0">
                  <c:v>571</c:v>
                </c:pt>
                <c:pt idx="1">
                  <c:v>584</c:v>
                </c:pt>
                <c:pt idx="2">
                  <c:v>493</c:v>
                </c:pt>
                <c:pt idx="3">
                  <c:v>443</c:v>
                </c:pt>
                <c:pt idx="4">
                  <c:v>407</c:v>
                </c:pt>
              </c:numCache>
            </c:numRef>
          </c:val>
          <c:smooth val="0"/>
        </c:ser>
        <c:dLbls>
          <c:showLegendKey val="0"/>
          <c:showVal val="1"/>
          <c:showCatName val="0"/>
          <c:showSerName val="0"/>
          <c:showPercent val="0"/>
          <c:showBubbleSize val="0"/>
        </c:dLbls>
        <c:marker val="1"/>
        <c:smooth val="0"/>
        <c:axId val="29615232"/>
        <c:axId val="29616768"/>
      </c:lineChart>
      <c:catAx>
        <c:axId val="29615232"/>
        <c:scaling>
          <c:orientation val="minMax"/>
        </c:scaling>
        <c:delete val="0"/>
        <c:axPos val="b"/>
        <c:majorTickMark val="none"/>
        <c:minorTickMark val="none"/>
        <c:tickLblPos val="nextTo"/>
        <c:crossAx val="29616768"/>
        <c:crosses val="autoZero"/>
        <c:auto val="1"/>
        <c:lblAlgn val="ctr"/>
        <c:lblOffset val="100"/>
        <c:noMultiLvlLbl val="0"/>
      </c:catAx>
      <c:valAx>
        <c:axId val="29616768"/>
        <c:scaling>
          <c:orientation val="minMax"/>
        </c:scaling>
        <c:delete val="0"/>
        <c:axPos val="l"/>
        <c:majorGridlines/>
        <c:numFmt formatCode="#,##0" sourceLinked="1"/>
        <c:majorTickMark val="none"/>
        <c:minorTickMark val="none"/>
        <c:tickLblPos val="nextTo"/>
        <c:crossAx val="29615232"/>
        <c:crosses val="autoZero"/>
        <c:crossBetween val="between"/>
        <c:majorUnit val="200"/>
      </c:valAx>
    </c:plotArea>
    <c:legend>
      <c:legendPos val="b"/>
      <c:legendEntry>
        <c:idx val="0"/>
        <c:delete val="1"/>
      </c:legendEntry>
      <c:legendEntry>
        <c:idx val="1"/>
        <c:delete val="1"/>
      </c:legendEntry>
      <c:legendEntry>
        <c:idx val="2"/>
        <c:delete val="1"/>
      </c:legendEntry>
      <c:layout>
        <c:manualLayout>
          <c:xMode val="edge"/>
          <c:yMode val="edge"/>
          <c:x val="5.5625768297949997E-2"/>
          <c:y val="0.88271311414431053"/>
          <c:w val="0.9"/>
          <c:h val="8.8066114105196366E-2"/>
        </c:manualLayout>
      </c:layout>
      <c:overlay val="0"/>
    </c:legend>
    <c:plotVisOnly val="1"/>
    <c:dispBlanksAs val="gap"/>
    <c:showDLblsOverMax val="0"/>
  </c:chart>
  <c:spPr>
    <a:noFill/>
    <a:ln>
      <a:noFill/>
    </a:ln>
  </c:spPr>
  <c:txPr>
    <a:bodyPr/>
    <a:lstStyle/>
    <a:p>
      <a:pPr>
        <a:defRPr sz="1000">
          <a:latin typeface="+mj-lt"/>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792631404346057E-2"/>
          <c:y val="5.5074037247050685E-2"/>
          <c:w val="0.89594590638995464"/>
          <c:h val="0.72588356489568451"/>
        </c:manualLayout>
      </c:layout>
      <c:lineChart>
        <c:grouping val="standard"/>
        <c:varyColors val="0"/>
        <c:ser>
          <c:idx val="0"/>
          <c:order val="0"/>
          <c:tx>
            <c:strRef>
              <c:f>'Tab12_zahr '!$A$4</c:f>
              <c:strCache>
                <c:ptCount val="1"/>
                <c:pt idx="0">
                  <c:v>I. stupeň</c:v>
                </c:pt>
              </c:strCache>
            </c:strRef>
          </c:tx>
          <c:spPr>
            <a:ln w="38100"/>
          </c:spPr>
          <c:marker>
            <c:symbol val="none"/>
          </c:marker>
          <c:dLbls>
            <c:dLbl>
              <c:idx val="0"/>
              <c:layout>
                <c:manualLayout>
                  <c:x val="-3.7435041809365008E-2"/>
                  <c:y val="-5.962466295808593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'Tab12_zahr '!$B$3:$F$3</c:f>
              <c:strCache>
                <c:ptCount val="5"/>
                <c:pt idx="0">
                  <c:v>2009/2010</c:v>
                </c:pt>
                <c:pt idx="1">
                  <c:v>2010/2011</c:v>
                </c:pt>
                <c:pt idx="2">
                  <c:v>2011/2012</c:v>
                </c:pt>
                <c:pt idx="3">
                  <c:v>2012/2013</c:v>
                </c:pt>
                <c:pt idx="4">
                  <c:v>2013/2014</c:v>
                </c:pt>
              </c:strCache>
            </c:strRef>
          </c:cat>
          <c:val>
            <c:numRef>
              <c:f>'Tab12_zahr '!$B$4:$F$4</c:f>
              <c:numCache>
                <c:formatCode>General</c:formatCode>
                <c:ptCount val="5"/>
                <c:pt idx="0">
                  <c:v>330</c:v>
                </c:pt>
                <c:pt idx="1">
                  <c:v>307</c:v>
                </c:pt>
                <c:pt idx="2">
                  <c:v>246</c:v>
                </c:pt>
                <c:pt idx="3">
                  <c:v>205</c:v>
                </c:pt>
                <c:pt idx="4">
                  <c:v>163</c:v>
                </c:pt>
              </c:numCache>
            </c:numRef>
          </c:val>
          <c:smooth val="0"/>
        </c:ser>
        <c:ser>
          <c:idx val="1"/>
          <c:order val="1"/>
          <c:tx>
            <c:strRef>
              <c:f>'Tab12_zahr '!$A$5</c:f>
              <c:strCache>
                <c:ptCount val="1"/>
                <c:pt idx="0">
                  <c:v>II. stupeň</c:v>
                </c:pt>
              </c:strCache>
            </c:strRef>
          </c:tx>
          <c:spPr>
            <a:ln w="38100"/>
          </c:spPr>
          <c:marker>
            <c:symbol val="none"/>
          </c:marker>
          <c:dLbls>
            <c:dLbl>
              <c:idx val="0"/>
              <c:layout>
                <c:manualLayout>
                  <c:x val="-3.1152416356877332E-2"/>
                  <c:y val="-4.5972785824980093E-2"/>
                </c:manualLayout>
              </c:layout>
              <c:dLblPos val="r"/>
              <c:showLegendKey val="0"/>
              <c:showVal val="1"/>
              <c:showCatName val="0"/>
              <c:showSerName val="0"/>
              <c:showPercent val="0"/>
              <c:showBubbleSize val="0"/>
            </c:dLbl>
            <c:dLbl>
              <c:idx val="3"/>
              <c:layout>
                <c:manualLayout>
                  <c:x val="-3.3630731102850156E-2"/>
                  <c:y val="-3.6871534402909696E-2"/>
                </c:manualLayout>
              </c:layout>
              <c:dLblPos val="r"/>
              <c:showLegendKey val="0"/>
              <c:showVal val="1"/>
              <c:showCatName val="0"/>
              <c:showSerName val="0"/>
              <c:showPercent val="0"/>
              <c:showBubbleSize val="0"/>
            </c:dLbl>
            <c:dLbl>
              <c:idx val="4"/>
              <c:layout>
                <c:manualLayout>
                  <c:x val="-2.1239157372986414E-2"/>
                  <c:y val="-3.68718927198947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'Tab12_zahr '!$B$3:$F$3</c:f>
              <c:strCache>
                <c:ptCount val="5"/>
                <c:pt idx="0">
                  <c:v>2009/2010</c:v>
                </c:pt>
                <c:pt idx="1">
                  <c:v>2010/2011</c:v>
                </c:pt>
                <c:pt idx="2">
                  <c:v>2011/2012</c:v>
                </c:pt>
                <c:pt idx="3">
                  <c:v>2012/2013</c:v>
                </c:pt>
                <c:pt idx="4">
                  <c:v>2013/2014</c:v>
                </c:pt>
              </c:strCache>
            </c:strRef>
          </c:cat>
          <c:val>
            <c:numRef>
              <c:f>'Tab12_zahr '!$B$5:$F$5</c:f>
              <c:numCache>
                <c:formatCode>General</c:formatCode>
                <c:ptCount val="5"/>
                <c:pt idx="0">
                  <c:v>67</c:v>
                </c:pt>
                <c:pt idx="1">
                  <c:v>44</c:v>
                </c:pt>
                <c:pt idx="2">
                  <c:v>34</c:v>
                </c:pt>
                <c:pt idx="3">
                  <c:v>49</c:v>
                </c:pt>
                <c:pt idx="4">
                  <c:v>54</c:v>
                </c:pt>
              </c:numCache>
            </c:numRef>
          </c:val>
          <c:smooth val="0"/>
        </c:ser>
        <c:ser>
          <c:idx val="2"/>
          <c:order val="2"/>
          <c:tx>
            <c:strRef>
              <c:f>'Tab12_zahr '!$A$6</c:f>
              <c:strCache>
                <c:ptCount val="1"/>
                <c:pt idx="0">
                  <c:v>III. stupeň</c:v>
                </c:pt>
              </c:strCache>
            </c:strRef>
          </c:tx>
          <c:spPr>
            <a:ln w="38100"/>
          </c:spPr>
          <c:marker>
            <c:symbol val="none"/>
          </c:marker>
          <c:dLbls>
            <c:dLblPos val="t"/>
            <c:showLegendKey val="0"/>
            <c:showVal val="1"/>
            <c:showCatName val="0"/>
            <c:showSerName val="0"/>
            <c:showPercent val="0"/>
            <c:showBubbleSize val="0"/>
            <c:showLeaderLines val="0"/>
          </c:dLbls>
          <c:cat>
            <c:strRef>
              <c:f>'Tab12_zahr '!$B$3:$F$3</c:f>
              <c:strCache>
                <c:ptCount val="5"/>
                <c:pt idx="0">
                  <c:v>2009/2010</c:v>
                </c:pt>
                <c:pt idx="1">
                  <c:v>2010/2011</c:v>
                </c:pt>
                <c:pt idx="2">
                  <c:v>2011/2012</c:v>
                </c:pt>
                <c:pt idx="3">
                  <c:v>2012/2013</c:v>
                </c:pt>
                <c:pt idx="4">
                  <c:v>2013/2014</c:v>
                </c:pt>
              </c:strCache>
            </c:strRef>
          </c:cat>
          <c:val>
            <c:numRef>
              <c:f>'Tab12_zahr '!$B$6:$F$6</c:f>
              <c:numCache>
                <c:formatCode>General</c:formatCode>
                <c:ptCount val="5"/>
                <c:pt idx="0">
                  <c:v>99</c:v>
                </c:pt>
                <c:pt idx="1">
                  <c:v>95</c:v>
                </c:pt>
                <c:pt idx="2">
                  <c:v>101</c:v>
                </c:pt>
                <c:pt idx="3">
                  <c:v>87</c:v>
                </c:pt>
                <c:pt idx="4">
                  <c:v>81</c:v>
                </c:pt>
              </c:numCache>
            </c:numRef>
          </c:val>
          <c:smooth val="0"/>
        </c:ser>
        <c:dLbls>
          <c:showLegendKey val="0"/>
          <c:showVal val="1"/>
          <c:showCatName val="0"/>
          <c:showSerName val="0"/>
          <c:showPercent val="0"/>
          <c:showBubbleSize val="0"/>
        </c:dLbls>
        <c:marker val="1"/>
        <c:smooth val="0"/>
        <c:axId val="30943488"/>
        <c:axId val="30957568"/>
      </c:lineChart>
      <c:catAx>
        <c:axId val="30943488"/>
        <c:scaling>
          <c:orientation val="minMax"/>
        </c:scaling>
        <c:delete val="0"/>
        <c:axPos val="b"/>
        <c:majorTickMark val="out"/>
        <c:minorTickMark val="none"/>
        <c:tickLblPos val="nextTo"/>
        <c:crossAx val="30957568"/>
        <c:crosses val="autoZero"/>
        <c:auto val="1"/>
        <c:lblAlgn val="ctr"/>
        <c:lblOffset val="100"/>
        <c:noMultiLvlLbl val="0"/>
      </c:catAx>
      <c:valAx>
        <c:axId val="30957568"/>
        <c:scaling>
          <c:orientation val="minMax"/>
        </c:scaling>
        <c:delete val="0"/>
        <c:axPos val="l"/>
        <c:majorGridlines/>
        <c:numFmt formatCode="General" sourceLinked="1"/>
        <c:majorTickMark val="out"/>
        <c:minorTickMark val="none"/>
        <c:tickLblPos val="nextTo"/>
        <c:crossAx val="30943488"/>
        <c:crosses val="autoZero"/>
        <c:crossBetween val="between"/>
      </c:valAx>
    </c:plotArea>
    <c:legend>
      <c:legendPos val="b"/>
      <c:overlay val="0"/>
    </c:legend>
    <c:plotVisOnly val="1"/>
    <c:dispBlanksAs val="gap"/>
    <c:showDLblsOverMax val="0"/>
  </c:chart>
  <c:spPr>
    <a:ln>
      <a:noFill/>
    </a:ln>
  </c:spPr>
  <c:txPr>
    <a:bodyPr/>
    <a:lstStyle/>
    <a:p>
      <a:pPr>
        <a:defRPr>
          <a:latin typeface="+mj-lt"/>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0"/>
      <c:rAngAx val="0"/>
      <c:perspective val="30"/>
    </c:view3D>
    <c:floor>
      <c:thickness val="0"/>
    </c:floor>
    <c:sideWall>
      <c:thickness val="0"/>
    </c:sideWall>
    <c:backWall>
      <c:thickness val="0"/>
    </c:backWall>
    <c:plotArea>
      <c:layout>
        <c:manualLayout>
          <c:layoutTarget val="inner"/>
          <c:xMode val="edge"/>
          <c:yMode val="edge"/>
          <c:x val="0"/>
          <c:y val="6.4814814814814936E-2"/>
          <c:w val="0.82200109361329998"/>
          <c:h val="0.89814814814814814"/>
        </c:manualLayout>
      </c:layout>
      <c:pie3DChart>
        <c:varyColors val="1"/>
        <c:ser>
          <c:idx val="0"/>
          <c:order val="0"/>
          <c:spPr>
            <a:effectLst>
              <a:outerShdw blurRad="50800" dist="38100" dir="5400000" algn="t" rotWithShape="0">
                <a:prstClr val="black">
                  <a:alpha val="40000"/>
                </a:prstClr>
              </a:outerShdw>
            </a:effectLst>
          </c:spPr>
          <c:explosion val="25"/>
          <c:cat>
            <c:strRef>
              <c:f>Tab13_14_15_Graf_5_6_mobility!$A$17:$A$19</c:f>
              <c:strCache>
                <c:ptCount val="3"/>
                <c:pt idx="0">
                  <c:v>Bc. (11,7 %)</c:v>
                </c:pt>
                <c:pt idx="1">
                  <c:v>Ing.(80,43 %)</c:v>
                </c:pt>
                <c:pt idx="2">
                  <c:v>PhD. (7,83 %)</c:v>
                </c:pt>
              </c:strCache>
            </c:strRef>
          </c:cat>
          <c:val>
            <c:numRef>
              <c:f>Tab13_14_15_Graf_5_6_mobility!$B$17:$B$19</c:f>
              <c:numCache>
                <c:formatCode>General</c:formatCode>
                <c:ptCount val="3"/>
                <c:pt idx="0">
                  <c:v>27</c:v>
                </c:pt>
                <c:pt idx="1">
                  <c:v>185</c:v>
                </c:pt>
                <c:pt idx="2">
                  <c:v>18</c:v>
                </c:pt>
              </c:numCache>
            </c:numRef>
          </c:val>
        </c:ser>
        <c:ser>
          <c:idx val="1"/>
          <c:order val="1"/>
          <c:explosion val="25"/>
          <c:cat>
            <c:strRef>
              <c:f>Tab13_14_15_Graf_5_6_mobility!$A$17:$A$19</c:f>
              <c:strCache>
                <c:ptCount val="3"/>
                <c:pt idx="0">
                  <c:v>Bc. (11,7 %)</c:v>
                </c:pt>
                <c:pt idx="1">
                  <c:v>Ing.(80,43 %)</c:v>
                </c:pt>
                <c:pt idx="2">
                  <c:v>PhD. (7,83 %)</c:v>
                </c:pt>
              </c:strCache>
            </c:strRef>
          </c:cat>
          <c:val>
            <c:numRef>
              <c:f>Tab13_14_15_Graf_5_6_mobility!$C$17:$C$19</c:f>
              <c:numCache>
                <c:formatCode>0.00%</c:formatCode>
                <c:ptCount val="3"/>
                <c:pt idx="0">
                  <c:v>0.11739130434782608</c:v>
                </c:pt>
                <c:pt idx="1">
                  <c:v>0.80434782608695654</c:v>
                </c:pt>
                <c:pt idx="2">
                  <c:v>7.8260869565217397E-2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015840411252965"/>
          <c:y val="0.61053514144065257"/>
          <c:w val="0.24984159588747115"/>
          <c:h val="0.34703613971330505"/>
        </c:manualLayout>
      </c:layout>
      <c:overlay val="1"/>
      <c:spPr>
        <a:effectLst>
          <a:outerShdw blurRad="50800" dist="38100" dir="5400000" algn="t" rotWithShape="0">
            <a:prstClr val="black">
              <a:alpha val="40000"/>
            </a:prstClr>
          </a:outerShdw>
        </a:effectLst>
      </c:spPr>
      <c:txPr>
        <a:bodyPr/>
        <a:lstStyle/>
        <a:p>
          <a:pPr>
            <a:defRPr sz="1100" b="1">
              <a:latin typeface="+mj-lt"/>
            </a:defRPr>
          </a:pPr>
          <a:endParaRPr lang="sk-SK"/>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a:ln>
          <a:noFill/>
        </a:ln>
      </c:spPr>
    </c:sideWall>
    <c:backWall>
      <c:thickness val="0"/>
      <c:spPr>
        <a:noFill/>
        <a:ln>
          <a:noFill/>
        </a:ln>
      </c:spPr>
    </c:backWall>
    <c:plotArea>
      <c:layout/>
      <c:bar3DChart>
        <c:barDir val="col"/>
        <c:grouping val="clustered"/>
        <c:varyColors val="0"/>
        <c:ser>
          <c:idx val="0"/>
          <c:order val="0"/>
          <c:tx>
            <c:strRef>
              <c:f>Tab13_14_15_Graf_5_6_mobility!$B$36:$B$37</c:f>
              <c:strCache>
                <c:ptCount val="1"/>
                <c:pt idx="0">
                  <c:v>Erasmus vyslania</c:v>
                </c:pt>
              </c:strCache>
            </c:strRef>
          </c:tx>
          <c:spPr>
            <a:scene3d>
              <a:camera prst="orthographicFront"/>
              <a:lightRig rig="threePt" dir="t"/>
            </a:scene3d>
            <a:sp3d>
              <a:bevelT/>
            </a:sp3d>
          </c:spPr>
          <c:invertIfNegative val="0"/>
          <c:cat>
            <c:strRef>
              <c:f>Tab13_14_15_Graf_5_6_mobility!$A$38:$A$60</c:f>
              <c:strCache>
                <c:ptCount val="23"/>
                <c:pt idx="0">
                  <c:v>CZ</c:v>
                </c:pt>
                <c:pt idx="1">
                  <c:v>GR</c:v>
                </c:pt>
                <c:pt idx="2">
                  <c:v>ES</c:v>
                </c:pt>
                <c:pt idx="3">
                  <c:v>AT</c:v>
                </c:pt>
                <c:pt idx="4">
                  <c:v>TR</c:v>
                </c:pt>
                <c:pt idx="5">
                  <c:v>SI</c:v>
                </c:pt>
                <c:pt idx="6">
                  <c:v>UK</c:v>
                </c:pt>
                <c:pt idx="7">
                  <c:v>SF</c:v>
                </c:pt>
                <c:pt idx="8">
                  <c:v>NO</c:v>
                </c:pt>
                <c:pt idx="9">
                  <c:v>DK</c:v>
                </c:pt>
                <c:pt idx="10">
                  <c:v>IT</c:v>
                </c:pt>
                <c:pt idx="11">
                  <c:v>NL</c:v>
                </c:pt>
                <c:pt idx="12">
                  <c:v>FR</c:v>
                </c:pt>
                <c:pt idx="13">
                  <c:v>LT</c:v>
                </c:pt>
                <c:pt idx="14">
                  <c:v>BE</c:v>
                </c:pt>
                <c:pt idx="15">
                  <c:v>BG</c:v>
                </c:pt>
                <c:pt idx="16">
                  <c:v>CH</c:v>
                </c:pt>
                <c:pt idx="17">
                  <c:v>DE</c:v>
                </c:pt>
                <c:pt idx="18">
                  <c:v>EE</c:v>
                </c:pt>
                <c:pt idx="19">
                  <c:v>SE</c:v>
                </c:pt>
                <c:pt idx="20">
                  <c:v>PL</c:v>
                </c:pt>
                <c:pt idx="21">
                  <c:v>PT</c:v>
                </c:pt>
                <c:pt idx="22">
                  <c:v>HR</c:v>
                </c:pt>
              </c:strCache>
            </c:strRef>
          </c:cat>
          <c:val>
            <c:numRef>
              <c:f>Tab13_14_15_Graf_5_6_mobility!$B$38:$B$60</c:f>
              <c:numCache>
                <c:formatCode>General</c:formatCode>
                <c:ptCount val="23"/>
                <c:pt idx="0">
                  <c:v>16</c:v>
                </c:pt>
                <c:pt idx="1">
                  <c:v>3</c:v>
                </c:pt>
                <c:pt idx="2">
                  <c:v>21</c:v>
                </c:pt>
                <c:pt idx="3">
                  <c:v>16</c:v>
                </c:pt>
                <c:pt idx="4">
                  <c:v>1</c:v>
                </c:pt>
                <c:pt idx="5">
                  <c:v>6</c:v>
                </c:pt>
                <c:pt idx="6">
                  <c:v>4</c:v>
                </c:pt>
                <c:pt idx="7">
                  <c:v>7</c:v>
                </c:pt>
                <c:pt idx="8">
                  <c:v>0</c:v>
                </c:pt>
                <c:pt idx="9">
                  <c:v>12</c:v>
                </c:pt>
                <c:pt idx="10">
                  <c:v>9</c:v>
                </c:pt>
                <c:pt idx="11">
                  <c:v>4</c:v>
                </c:pt>
                <c:pt idx="12">
                  <c:v>8</c:v>
                </c:pt>
                <c:pt idx="13">
                  <c:v>1</c:v>
                </c:pt>
                <c:pt idx="14">
                  <c:v>12</c:v>
                </c:pt>
                <c:pt idx="15">
                  <c:v>2</c:v>
                </c:pt>
                <c:pt idx="16">
                  <c:v>0</c:v>
                </c:pt>
                <c:pt idx="17">
                  <c:v>42</c:v>
                </c:pt>
                <c:pt idx="18">
                  <c:v>9</c:v>
                </c:pt>
                <c:pt idx="19">
                  <c:v>7</c:v>
                </c:pt>
                <c:pt idx="20">
                  <c:v>13</c:v>
                </c:pt>
                <c:pt idx="21">
                  <c:v>12</c:v>
                </c:pt>
                <c:pt idx="22">
                  <c:v>0</c:v>
                </c:pt>
              </c:numCache>
            </c:numRef>
          </c:val>
        </c:ser>
        <c:ser>
          <c:idx val="1"/>
          <c:order val="1"/>
          <c:tx>
            <c:strRef>
              <c:f>Tab13_14_15_Graf_5_6_mobility!$C$36:$C$37</c:f>
              <c:strCache>
                <c:ptCount val="1"/>
                <c:pt idx="0">
                  <c:v>Erasmus prijatia</c:v>
                </c:pt>
              </c:strCache>
            </c:strRef>
          </c:tx>
          <c:spPr>
            <a:scene3d>
              <a:camera prst="orthographicFront"/>
              <a:lightRig rig="threePt" dir="t"/>
            </a:scene3d>
            <a:sp3d>
              <a:bevelT/>
            </a:sp3d>
          </c:spPr>
          <c:invertIfNegative val="0"/>
          <c:cat>
            <c:strRef>
              <c:f>Tab13_14_15_Graf_5_6_mobility!$A$38:$A$60</c:f>
              <c:strCache>
                <c:ptCount val="23"/>
                <c:pt idx="0">
                  <c:v>CZ</c:v>
                </c:pt>
                <c:pt idx="1">
                  <c:v>GR</c:v>
                </c:pt>
                <c:pt idx="2">
                  <c:v>ES</c:v>
                </c:pt>
                <c:pt idx="3">
                  <c:v>AT</c:v>
                </c:pt>
                <c:pt idx="4">
                  <c:v>TR</c:v>
                </c:pt>
                <c:pt idx="5">
                  <c:v>SI</c:v>
                </c:pt>
                <c:pt idx="6">
                  <c:v>UK</c:v>
                </c:pt>
                <c:pt idx="7">
                  <c:v>SF</c:v>
                </c:pt>
                <c:pt idx="8">
                  <c:v>NO</c:v>
                </c:pt>
                <c:pt idx="9">
                  <c:v>DK</c:v>
                </c:pt>
                <c:pt idx="10">
                  <c:v>IT</c:v>
                </c:pt>
                <c:pt idx="11">
                  <c:v>NL</c:v>
                </c:pt>
                <c:pt idx="12">
                  <c:v>FR</c:v>
                </c:pt>
                <c:pt idx="13">
                  <c:v>LT</c:v>
                </c:pt>
                <c:pt idx="14">
                  <c:v>BE</c:v>
                </c:pt>
                <c:pt idx="15">
                  <c:v>BG</c:v>
                </c:pt>
                <c:pt idx="16">
                  <c:v>CH</c:v>
                </c:pt>
                <c:pt idx="17">
                  <c:v>DE</c:v>
                </c:pt>
                <c:pt idx="18">
                  <c:v>EE</c:v>
                </c:pt>
                <c:pt idx="19">
                  <c:v>SE</c:v>
                </c:pt>
                <c:pt idx="20">
                  <c:v>PL</c:v>
                </c:pt>
                <c:pt idx="21">
                  <c:v>PT</c:v>
                </c:pt>
                <c:pt idx="22">
                  <c:v>HR</c:v>
                </c:pt>
              </c:strCache>
            </c:strRef>
          </c:cat>
          <c:val>
            <c:numRef>
              <c:f>Tab13_14_15_Graf_5_6_mobility!$C$38:$C$60</c:f>
              <c:numCache>
                <c:formatCode>General</c:formatCode>
                <c:ptCount val="23"/>
                <c:pt idx="0">
                  <c:v>4</c:v>
                </c:pt>
                <c:pt idx="1">
                  <c:v>3</c:v>
                </c:pt>
                <c:pt idx="2">
                  <c:v>38</c:v>
                </c:pt>
                <c:pt idx="3">
                  <c:v>0</c:v>
                </c:pt>
                <c:pt idx="4">
                  <c:v>8</c:v>
                </c:pt>
                <c:pt idx="5">
                  <c:v>0</c:v>
                </c:pt>
                <c:pt idx="6">
                  <c:v>0</c:v>
                </c:pt>
                <c:pt idx="7">
                  <c:v>0</c:v>
                </c:pt>
                <c:pt idx="8">
                  <c:v>0</c:v>
                </c:pt>
                <c:pt idx="9">
                  <c:v>0</c:v>
                </c:pt>
                <c:pt idx="10">
                  <c:v>5</c:v>
                </c:pt>
                <c:pt idx="11">
                  <c:v>0</c:v>
                </c:pt>
                <c:pt idx="12">
                  <c:v>10</c:v>
                </c:pt>
                <c:pt idx="13">
                  <c:v>1</c:v>
                </c:pt>
                <c:pt idx="14">
                  <c:v>1</c:v>
                </c:pt>
                <c:pt idx="15">
                  <c:v>1</c:v>
                </c:pt>
                <c:pt idx="16">
                  <c:v>0</c:v>
                </c:pt>
                <c:pt idx="17">
                  <c:v>5</c:v>
                </c:pt>
                <c:pt idx="18">
                  <c:v>1</c:v>
                </c:pt>
                <c:pt idx="19">
                  <c:v>0</c:v>
                </c:pt>
                <c:pt idx="20">
                  <c:v>9</c:v>
                </c:pt>
                <c:pt idx="21">
                  <c:v>3</c:v>
                </c:pt>
                <c:pt idx="22">
                  <c:v>8</c:v>
                </c:pt>
              </c:numCache>
            </c:numRef>
          </c:val>
        </c:ser>
        <c:dLbls>
          <c:showLegendKey val="0"/>
          <c:showVal val="0"/>
          <c:showCatName val="0"/>
          <c:showSerName val="0"/>
          <c:showPercent val="0"/>
          <c:showBubbleSize val="0"/>
        </c:dLbls>
        <c:gapWidth val="150"/>
        <c:shape val="box"/>
        <c:axId val="30998912"/>
        <c:axId val="31000448"/>
        <c:axId val="0"/>
      </c:bar3DChart>
      <c:catAx>
        <c:axId val="30998912"/>
        <c:scaling>
          <c:orientation val="minMax"/>
        </c:scaling>
        <c:delete val="0"/>
        <c:axPos val="b"/>
        <c:majorTickMark val="out"/>
        <c:minorTickMark val="none"/>
        <c:tickLblPos val="nextTo"/>
        <c:txPr>
          <a:bodyPr/>
          <a:lstStyle/>
          <a:p>
            <a:pPr>
              <a:defRPr sz="1100">
                <a:latin typeface="+mj-lt"/>
              </a:defRPr>
            </a:pPr>
            <a:endParaRPr lang="sk-SK"/>
          </a:p>
        </c:txPr>
        <c:crossAx val="31000448"/>
        <c:crosses val="autoZero"/>
        <c:auto val="1"/>
        <c:lblAlgn val="ctr"/>
        <c:lblOffset val="100"/>
        <c:noMultiLvlLbl val="0"/>
      </c:catAx>
      <c:valAx>
        <c:axId val="31000448"/>
        <c:scaling>
          <c:orientation val="minMax"/>
        </c:scaling>
        <c:delete val="0"/>
        <c:axPos val="l"/>
        <c:majorGridlines/>
        <c:numFmt formatCode="General" sourceLinked="1"/>
        <c:majorTickMark val="out"/>
        <c:minorTickMark val="none"/>
        <c:tickLblPos val="nextTo"/>
        <c:txPr>
          <a:bodyPr/>
          <a:lstStyle/>
          <a:p>
            <a:pPr>
              <a:defRPr sz="1100">
                <a:latin typeface="+mj-lt"/>
              </a:defRPr>
            </a:pPr>
            <a:endParaRPr lang="sk-SK"/>
          </a:p>
        </c:txPr>
        <c:crossAx val="30998912"/>
        <c:crosses val="autoZero"/>
        <c:crossBetween val="between"/>
      </c:valAx>
    </c:plotArea>
    <c:legend>
      <c:legendPos val="t"/>
      <c:layout>
        <c:manualLayout>
          <c:xMode val="edge"/>
          <c:yMode val="edge"/>
          <c:x val="0.48273854657056753"/>
          <c:y val="6.1443956673557308E-2"/>
          <c:w val="0.5001027777339444"/>
          <c:h val="6.5879818912987664E-2"/>
        </c:manualLayout>
      </c:layout>
      <c:overlay val="1"/>
      <c:txPr>
        <a:bodyPr/>
        <a:lstStyle/>
        <a:p>
          <a:pPr>
            <a:defRPr sz="1100" b="0">
              <a:latin typeface="+mj-lt"/>
            </a:defRPr>
          </a:pPr>
          <a:endParaRPr lang="sk-SK"/>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Hárok1!$E$6</c:f>
              <c:strCache>
                <c:ptCount val="1"/>
                <c:pt idx="0">
                  <c:v>vyslaní</c:v>
                </c:pt>
              </c:strCache>
            </c:strRef>
          </c:tx>
          <c:marker>
            <c:symbol val="none"/>
          </c:marker>
          <c:dLbls>
            <c:dLbl>
              <c:idx val="0"/>
              <c:layout>
                <c:manualLayout>
                  <c:x val="-3.3333333333333333E-2"/>
                  <c:y val="4.6296296296296294E-2"/>
                </c:manualLayout>
              </c:layout>
              <c:showLegendKey val="0"/>
              <c:showVal val="1"/>
              <c:showCatName val="0"/>
              <c:showSerName val="0"/>
              <c:showPercent val="0"/>
              <c:showBubbleSize val="0"/>
            </c:dLbl>
            <c:dLbl>
              <c:idx val="1"/>
              <c:layout>
                <c:manualLayout>
                  <c:x val="-3.3333333333333333E-2"/>
                  <c:y val="3.2407407407407406E-2"/>
                </c:manualLayout>
              </c:layout>
              <c:showLegendKey val="0"/>
              <c:showVal val="1"/>
              <c:showCatName val="0"/>
              <c:showSerName val="0"/>
              <c:showPercent val="0"/>
              <c:showBubbleSize val="0"/>
            </c:dLbl>
            <c:dLbl>
              <c:idx val="2"/>
              <c:layout>
                <c:manualLayout>
                  <c:x val="-3.6111111111111108E-2"/>
                  <c:y val="6.9444444444444448E-2"/>
                </c:manualLayout>
              </c:layout>
              <c:showLegendKey val="0"/>
              <c:showVal val="1"/>
              <c:showCatName val="0"/>
              <c:showSerName val="0"/>
              <c:showPercent val="0"/>
              <c:showBubbleSize val="0"/>
            </c:dLbl>
            <c:dLbl>
              <c:idx val="4"/>
              <c:layout>
                <c:manualLayout>
                  <c:x val="-8.3333333333333332E-3"/>
                  <c:y val="2.31481481481481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Hárok1!$D$7:$D$11</c:f>
              <c:strCache>
                <c:ptCount val="5"/>
                <c:pt idx="0">
                  <c:v>2009/2010</c:v>
                </c:pt>
                <c:pt idx="1">
                  <c:v>2010/2011</c:v>
                </c:pt>
                <c:pt idx="2">
                  <c:v>2011/2012</c:v>
                </c:pt>
                <c:pt idx="3">
                  <c:v>2012/2013</c:v>
                </c:pt>
                <c:pt idx="4">
                  <c:v>2013/2014</c:v>
                </c:pt>
              </c:strCache>
            </c:strRef>
          </c:cat>
          <c:val>
            <c:numRef>
              <c:f>Hárok1!$E$7:$E$11</c:f>
              <c:numCache>
                <c:formatCode>General</c:formatCode>
                <c:ptCount val="5"/>
                <c:pt idx="0">
                  <c:v>153</c:v>
                </c:pt>
                <c:pt idx="1">
                  <c:v>155</c:v>
                </c:pt>
                <c:pt idx="2">
                  <c:v>263</c:v>
                </c:pt>
                <c:pt idx="3">
                  <c:v>214</c:v>
                </c:pt>
                <c:pt idx="4">
                  <c:v>325</c:v>
                </c:pt>
              </c:numCache>
            </c:numRef>
          </c:val>
          <c:smooth val="0"/>
        </c:ser>
        <c:ser>
          <c:idx val="1"/>
          <c:order val="1"/>
          <c:tx>
            <c:strRef>
              <c:f>Hárok1!$F$6</c:f>
              <c:strCache>
                <c:ptCount val="1"/>
                <c:pt idx="0">
                  <c:v>prijatí</c:v>
                </c:pt>
              </c:strCache>
            </c:strRef>
          </c:tx>
          <c:marker>
            <c:symbol val="none"/>
          </c:marker>
          <c:dLbls>
            <c:dLbl>
              <c:idx val="0"/>
              <c:layout>
                <c:manualLayout>
                  <c:x val="-1.6666666666666666E-2"/>
                  <c:y val="4.6296296296296294E-2"/>
                </c:manualLayout>
              </c:layout>
              <c:showLegendKey val="0"/>
              <c:showVal val="1"/>
              <c:showCatName val="0"/>
              <c:showSerName val="0"/>
              <c:showPercent val="0"/>
              <c:showBubbleSize val="0"/>
            </c:dLbl>
            <c:dLbl>
              <c:idx val="1"/>
              <c:layout>
                <c:manualLayout>
                  <c:x val="-1.6666666666666666E-2"/>
                  <c:y val="3.7037037037037125E-2"/>
                </c:manualLayout>
              </c:layout>
              <c:showLegendKey val="0"/>
              <c:showVal val="1"/>
              <c:showCatName val="0"/>
              <c:showSerName val="0"/>
              <c:showPercent val="0"/>
              <c:showBubbleSize val="0"/>
            </c:dLbl>
            <c:dLbl>
              <c:idx val="2"/>
              <c:layout>
                <c:manualLayout>
                  <c:x val="-2.2222222222222223E-2"/>
                  <c:y val="2.7777777777777863E-2"/>
                </c:manualLayout>
              </c:layout>
              <c:showLegendKey val="0"/>
              <c:showVal val="1"/>
              <c:showCatName val="0"/>
              <c:showSerName val="0"/>
              <c:showPercent val="0"/>
              <c:showBubbleSize val="0"/>
            </c:dLbl>
            <c:dLbl>
              <c:idx val="3"/>
              <c:layout>
                <c:manualLayout>
                  <c:x val="-1.3888888888888888E-2"/>
                  <c:y val="3.2407407407407406E-2"/>
                </c:manualLayout>
              </c:layout>
              <c:showLegendKey val="0"/>
              <c:showVal val="1"/>
              <c:showCatName val="0"/>
              <c:showSerName val="0"/>
              <c:showPercent val="0"/>
              <c:showBubbleSize val="0"/>
            </c:dLbl>
            <c:dLbl>
              <c:idx val="4"/>
              <c:layout>
                <c:manualLayout>
                  <c:x val="-1.6666666666666666E-2"/>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Hárok1!$D$7:$D$11</c:f>
              <c:strCache>
                <c:ptCount val="5"/>
                <c:pt idx="0">
                  <c:v>2009/2010</c:v>
                </c:pt>
                <c:pt idx="1">
                  <c:v>2010/2011</c:v>
                </c:pt>
                <c:pt idx="2">
                  <c:v>2011/2012</c:v>
                </c:pt>
                <c:pt idx="3">
                  <c:v>2012/2013</c:v>
                </c:pt>
                <c:pt idx="4">
                  <c:v>2013/2014</c:v>
                </c:pt>
              </c:strCache>
            </c:strRef>
          </c:cat>
          <c:val>
            <c:numRef>
              <c:f>Hárok1!$F$7:$F$11</c:f>
              <c:numCache>
                <c:formatCode>General</c:formatCode>
                <c:ptCount val="5"/>
                <c:pt idx="0">
                  <c:v>65</c:v>
                </c:pt>
                <c:pt idx="1">
                  <c:v>81</c:v>
                </c:pt>
                <c:pt idx="2">
                  <c:v>86</c:v>
                </c:pt>
                <c:pt idx="3">
                  <c:v>112</c:v>
                </c:pt>
                <c:pt idx="4">
                  <c:v>153</c:v>
                </c:pt>
              </c:numCache>
            </c:numRef>
          </c:val>
          <c:smooth val="0"/>
        </c:ser>
        <c:dLbls>
          <c:showLegendKey val="0"/>
          <c:showVal val="0"/>
          <c:showCatName val="0"/>
          <c:showSerName val="0"/>
          <c:showPercent val="0"/>
          <c:showBubbleSize val="0"/>
        </c:dLbls>
        <c:marker val="1"/>
        <c:smooth val="0"/>
        <c:axId val="31049984"/>
        <c:axId val="31055872"/>
      </c:lineChart>
      <c:catAx>
        <c:axId val="31049984"/>
        <c:scaling>
          <c:orientation val="minMax"/>
        </c:scaling>
        <c:delete val="0"/>
        <c:axPos val="b"/>
        <c:majorTickMark val="out"/>
        <c:minorTickMark val="none"/>
        <c:tickLblPos val="nextTo"/>
        <c:crossAx val="31055872"/>
        <c:crosses val="autoZero"/>
        <c:auto val="1"/>
        <c:lblAlgn val="ctr"/>
        <c:lblOffset val="100"/>
        <c:noMultiLvlLbl val="0"/>
      </c:catAx>
      <c:valAx>
        <c:axId val="31055872"/>
        <c:scaling>
          <c:orientation val="minMax"/>
        </c:scaling>
        <c:delete val="0"/>
        <c:axPos val="l"/>
        <c:majorGridlines/>
        <c:numFmt formatCode="General" sourceLinked="1"/>
        <c:majorTickMark val="out"/>
        <c:minorTickMark val="none"/>
        <c:tickLblPos val="nextTo"/>
        <c:crossAx val="310499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9853-273E-45D4-BBC3-EED267E6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30082</Words>
  <Characters>171469</Characters>
  <Application>Microsoft Office Word</Application>
  <DocSecurity>0</DocSecurity>
  <Lines>1428</Lines>
  <Paragraphs>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Sajbidorova</dc:creator>
  <cp:lastModifiedBy>gogorova</cp:lastModifiedBy>
  <cp:revision>3</cp:revision>
  <cp:lastPrinted>2015-03-26T10:22:00Z</cp:lastPrinted>
  <dcterms:created xsi:type="dcterms:W3CDTF">2015-04-20T10:23:00Z</dcterms:created>
  <dcterms:modified xsi:type="dcterms:W3CDTF">2015-04-20T10:23:00Z</dcterms:modified>
</cp:coreProperties>
</file>